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p>
    <w:p>
      <w:pPr>
        <w:spacing w:after="100"/>
        <w:jc w:val="center"/>
      </w:pPr>
      <w:r>
        <w:rPr>
          <w:rFonts w:ascii="Arial" w:cs="Arial" w:eastAsia="Arial" w:hAnsi="Arial"/>
          <w:b/>
          <w:bCs/>
          <w:color w:val="777777"/>
          <w:sz w:val="20"/>
          <w:szCs w:val="20"/>
        </w:rPr>
        <w:t xml:space="preserve">TECHNICAL RESEARCH PORTFOLIO &amp; SYSTEM SPECIFICATION</w:t>
      </w:r>
    </w:p>
    <w:p>
      <w:pPr>
        <w:pBdr>
          <w:bottom w:val="single" w:color="1A2744" w:sz="6" w:space="12"/>
        </w:pBdr>
        <w:spacing w:after="300"/>
        <w:jc w:val="center"/>
      </w:pPr>
      <w:r>
        <w:rPr>
          <w:rFonts w:ascii="Arial" w:cs="Arial" w:eastAsia="Arial" w:hAnsi="Arial"/>
          <w:b/>
          <w:bCs/>
          <w:color w:val="1A2744"/>
          <w:sz w:val="46"/>
          <w:szCs w:val="46"/>
        </w:rPr>
        <w:t xml:space="preserve">Authority-Governed Assured Autonomy</w:t>
      </w:r>
    </w:p>
    <w:p>
      <w:pPr>
        <w:spacing w:after="100"/>
        <w:jc w:val="center"/>
      </w:pPr>
      <w:r>
        <w:rPr>
          <w:rFonts w:ascii="Arial" w:cs="Arial" w:eastAsia="Arial" w:hAnsi="Arial"/>
          <w:color w:val="2B4570"/>
          <w:sz w:val="26"/>
          <w:szCs w:val="26"/>
        </w:rPr>
        <w:t xml:space="preserve">A Research Platform for Trust-Based Governance</w:t>
      </w:r>
    </w:p>
    <w:p>
      <w:pPr>
        <w:spacing w:after="100"/>
        <w:jc w:val="center"/>
      </w:pPr>
      <w:r>
        <w:rPr>
          <w:rFonts w:ascii="Arial" w:cs="Arial" w:eastAsia="Arial" w:hAnsi="Arial"/>
          <w:color w:val="2B4570"/>
          <w:sz w:val="26"/>
          <w:szCs w:val="26"/>
        </w:rPr>
        <w:t xml:space="preserve">of Autonomous Robotic Systems</w:t>
      </w:r>
    </w:p>
    <w:p>
      <w:pPr>
        <w:spacing w:after="100"/>
        <w:jc w:val="center"/>
      </w:pPr>
      <w:r>
        <w:rPr>
          <w:rFonts w:ascii="Arial" w:cs="Arial" w:eastAsia="Arial" w:hAnsi="Arial"/>
          <w:color w:val="666666"/>
          <w:sz w:val="20"/>
          <w:szCs w:val="20"/>
        </w:rPr>
        <w:t xml:space="preserve">Implementing SATA Trust Evaluation, HMAA Mission Authority Control,</w:t>
      </w:r>
    </w:p>
    <w:p>
      <w:pPr>
        <w:spacing w:after="500"/>
        <w:jc w:val="center"/>
      </w:pPr>
      <w:r>
        <w:rPr>
          <w:rFonts w:ascii="Arial" w:cs="Arial" w:eastAsia="Arial" w:hAnsi="Arial"/>
          <w:color w:val="666666"/>
          <w:sz w:val="20"/>
          <w:szCs w:val="20"/>
        </w:rPr>
        <w:t xml:space="preserve">and CARA Recovery Enforcement</w:t>
      </w:r>
    </w:p>
    <w:p>
      <w:pPr>
        <w:spacing w:after="60"/>
        <w:jc w:val="center"/>
      </w:pPr>
      <w:r>
        <w:rPr>
          <w:rFonts w:ascii="Arial" w:cs="Arial" w:eastAsia="Arial" w:hAnsi="Arial"/>
          <w:b/>
          <w:bCs/>
          <w:sz w:val="24"/>
          <w:szCs w:val="24"/>
        </w:rPr>
        <w:t xml:space="preserve">Burak Oktenli</w:t>
      </w:r>
    </w:p>
    <w:p>
      <w:pPr>
        <w:spacing w:after="60"/>
        <w:jc w:val="center"/>
      </w:pPr>
      <w:r>
        <w:rPr>
          <w:rFonts w:ascii="Arial" w:cs="Arial" w:eastAsia="Arial" w:hAnsi="Arial"/>
          <w:color w:val="555555"/>
          <w:sz w:val="20"/>
          <w:szCs w:val="20"/>
        </w:rPr>
        <w:t xml:space="preserve">Independent Researcher  |  burakoktenli.com</w:t>
      </w:r>
    </w:p>
    <w:p>
      <w:pPr>
        <w:spacing w:after="200"/>
        <w:jc w:val="center"/>
      </w:pPr>
      <w:r>
        <w:rPr>
          <w:rFonts w:ascii="Arial" w:cs="Arial" w:eastAsia="Arial" w:hAnsi="Arial"/>
          <w:color w:val="555555"/>
          <w:sz w:val="20"/>
          <w:szCs w:val="20"/>
        </w:rPr>
        <w:t xml:space="preserve">March 2026  |  Version 2.0</w:t>
      </w:r>
    </w:p>
    <w:p>
      <w:pPr>
        <w:spacing w:after="60"/>
        <w:jc w:val="center"/>
      </w:pPr>
      <w:r>
        <w:rPr>
          <w:rFonts w:ascii="Arial" w:cs="Arial" w:eastAsia="Arial" w:hAnsi="Arial"/>
          <w:b/>
          <w:bCs/>
          <w:color w:val="2E7D32"/>
          <w:sz w:val="20"/>
          <w:szCs w:val="20"/>
        </w:rPr>
        <w:t xml:space="preserve">Design Maturity: 9.0 / 10  |  TRL 3–4  |  Hardware Verified: 21/21 Checks Passed</w:t>
      </w:r>
    </w:p>
    <w:p>
      <w:pPr>
        <w:jc w:val="center"/>
      </w:pPr>
      <w:r>
        <w:rPr>
          <w:rFonts w:ascii="Arial" w:cs="Arial" w:eastAsia="Arial" w:hAnsi="Arial"/>
          <w:i/>
          <w:iCs/>
          <w:color w:val="888888"/>
          <w:sz w:val="19"/>
          <w:szCs w:val="19"/>
        </w:rPr>
        <w:t xml:space="preserve">Design Phase Complete  |  Implementation Phase Initiated</w:t>
      </w:r>
    </w:p>
    <w:p>
      <w:r>
        <w:br w:type="page"/>
      </w:r>
    </w:p>
    <w:p>
      <w:pPr>
        <w:pStyle w:val="Heading1"/>
        <w:spacing w:before="400" w:after="200"/>
      </w:pPr>
      <w:r>
        <w:rPr>
          <w:rFonts w:ascii="Arial" w:cs="Arial" w:eastAsia="Arial" w:hAnsi="Arial"/>
          <w:b/>
          <w:bCs/>
          <w:color w:val="1A2744"/>
          <w:sz w:val="30"/>
          <w:szCs w:val="30"/>
        </w:rPr>
        <w:t xml:space="preserve">Table of Contents</w:t>
      </w:r>
    </w:p>
    <w:sdt>
      <w:sdtPr>
        <w:alias w:val="TOC"/>
      </w:sdtPr>
      <w:sdtContent>
        <w:p>
          <w:r>
            <w:fldChar w:fldCharType="begin" w:dirty="true"/>
            <w:instrText xml:space="preserve">TOC \h \o "1-2"</w:instrText>
            <w:fldChar w:fldCharType="separate"/>
          </w:r>
        </w:p>
        <w:p>
          <w:r>
            <w:fldChar w:fldCharType="end"/>
          </w:r>
        </w:p>
      </w:sdtContent>
    </w:sdt>
    <w:p>
      <w:r>
        <w:br w:type="page"/>
      </w:r>
    </w:p>
    <w:p>
      <w:pPr>
        <w:pBdr>
          <w:bottom w:val="single" w:color="1A2744" w:sz="4" w:space="8"/>
        </w:pBdr>
        <w:spacing w:before="600" w:after="300"/>
        <w:jc w:val="center"/>
      </w:pPr>
      <w:r>
        <w:rPr>
          <w:rFonts w:ascii="Arial" w:cs="Arial" w:eastAsia="Arial" w:hAnsi="Arial"/>
          <w:b/>
          <w:bCs/>
          <w:color w:val="1A2744"/>
          <w:sz w:val="28"/>
          <w:szCs w:val="28"/>
        </w:rPr>
        <w:t xml:space="preserve">PART I: RESEARCH CONTEXT AND SIGNIFICANCE</w:t>
      </w:r>
    </w:p>
    <w:p>
      <w:r>
        <w:br w:type="page"/>
      </w:r>
    </w:p>
    <w:p>
      <w:pPr>
        <w:pStyle w:val="Heading1"/>
        <w:spacing w:before="400" w:after="200"/>
      </w:pPr>
      <w:r>
        <w:rPr>
          <w:rFonts w:ascii="Arial" w:cs="Arial" w:eastAsia="Arial" w:hAnsi="Arial"/>
          <w:b/>
          <w:bCs/>
          <w:color w:val="1A2744"/>
          <w:sz w:val="30"/>
          <w:szCs w:val="30"/>
        </w:rPr>
        <w:t xml:space="preserve">1. Executive Summary</w:t>
      </w:r>
    </w:p>
    <w:p>
      <w:pPr>
        <w:spacing w:after="130" w:line="300"/>
        <w:jc w:val="left"/>
      </w:pPr>
      <w:r>
        <w:rPr>
          <w:rFonts w:ascii="Arial" w:cs="Arial" w:eastAsia="Arial" w:hAnsi="Arial"/>
          <w:sz w:val="21"/>
          <w:szCs w:val="21"/>
        </w:rPr>
        <w:t xml:space="preserve">This document presents the complete design, specification, and technical details of the Authority-Governed Assured Autonomy Rover Testbed, a physical robotic research platform created to investigate a fundamental open problem in autonomous systems: how to formally govern the degree of autonomy a system is permitted to exercise, based on continuously evaluated trust in its own perception and decision-making.</w:t>
      </w:r>
    </w:p>
    <w:p>
      <w:pPr>
        <w:spacing w:after="130" w:line="300"/>
        <w:jc w:val="left"/>
      </w:pPr>
      <w:r>
        <w:rPr>
          <w:rFonts w:ascii="Arial" w:cs="Arial" w:eastAsia="Arial" w:hAnsi="Arial"/>
          <w:sz w:val="21"/>
          <w:szCs w:val="21"/>
        </w:rPr>
        <w:t xml:space="preserve">The platform addresses a critical gap identified across multiple U.S. national technology strategies. Current autonomous systems operate in a binary mode: either fully autonomous or fully human-controlled. There is no widely adopted framework for continuously regulating autonomy based on measured trust, gracefully degrading capabilities when sensor integrity is compromised, or enforcing safe recovery when trust collapses. This gap limits the deployment of autonomous systems in contested, safety-critical, and uncertain environments.</w:t>
      </w:r>
    </w:p>
    <w:p>
      <w:pPr>
        <w:spacing w:after="130" w:line="300"/>
        <w:jc w:val="left"/>
      </w:pPr>
      <w:r>
        <w:rPr>
          <w:rFonts w:ascii="Arial" w:cs="Arial" w:eastAsia="Arial" w:hAnsi="Arial"/>
          <w:sz w:val="21"/>
          <w:szCs w:val="21"/>
        </w:rPr>
        <w:t xml:space="preserve">The research platform implements three original architectural layers: SATA (Sensor-Aware Trust Assessment) continuously scores sensor reliability using Dempster-Shafer evidence theory; HMAA (Hierarchical Multi-Agent Authority Architecture) maps trust levels to formally defined autonomy permissions through a four-level finite state machine with hysteresis; and CARA (Context-Aware Recovery Architecture) overrides the mission planner when trust collapses, enforcing safe behaviors.</w:t>
      </w:r>
    </w:p>
    <w:p>
      <w:pPr>
        <w:spacing w:after="130" w:line="300"/>
        <w:jc w:val="left"/>
      </w:pPr>
      <w:r>
        <w:rPr>
          <w:rFonts w:ascii="Arial" w:cs="Arial" w:eastAsia="Arial" w:hAnsi="Arial"/>
          <w:sz w:val="21"/>
          <w:szCs w:val="21"/>
        </w:rPr>
        <w:t xml:space="preserve">The platform has been fully designed and specified to a design maturity of 9.0/10.0. The hardware architecture has passed 21/21 automated verification checks. A complete system specification covers the authority state machine, trust fusion mathematics, command gate protocol, recovery logic, ROS 2 software architecture, fault injection framework, and a seven-experiment validation methodology. The platform is entering the physical build and software implementation phase.</w:t>
      </w:r>
    </w:p>
    <w:p>
      <w:r>
        <w:br w:type="page"/>
      </w:r>
    </w:p>
    <w:p>
      <w:pPr>
        <w:pStyle w:val="Heading1"/>
        <w:spacing w:before="400" w:after="200"/>
      </w:pPr>
      <w:r>
        <w:rPr>
          <w:rFonts w:ascii="Arial" w:cs="Arial" w:eastAsia="Arial" w:hAnsi="Arial"/>
          <w:b/>
          <w:bCs/>
          <w:color w:val="1A2744"/>
          <w:sz w:val="30"/>
          <w:szCs w:val="30"/>
        </w:rPr>
        <w:t xml:space="preserve">2. Research Problem and National Significance</w:t>
      </w:r>
    </w:p>
    <w:p>
      <w:pPr>
        <w:pStyle w:val="Heading2"/>
        <w:spacing w:before="300" w:after="160"/>
      </w:pPr>
      <w:r>
        <w:rPr>
          <w:rFonts w:ascii="Arial" w:cs="Arial" w:eastAsia="Arial" w:hAnsi="Arial"/>
          <w:b/>
          <w:bCs/>
          <w:color w:val="2B4570"/>
          <w:sz w:val="24"/>
          <w:szCs w:val="24"/>
        </w:rPr>
        <w:t xml:space="preserve">2.1 The Problem: Ungoverned Autonomy</w:t>
      </w:r>
    </w:p>
    <w:p>
      <w:pPr>
        <w:spacing w:after="130" w:line="300"/>
        <w:jc w:val="left"/>
      </w:pPr>
      <w:r>
        <w:rPr>
          <w:rFonts w:ascii="Arial" w:cs="Arial" w:eastAsia="Arial" w:hAnsi="Arial"/>
          <w:sz w:val="21"/>
          <w:szCs w:val="21"/>
        </w:rPr>
        <w:t xml:space="preserve">Autonomous systems are deployed in increasingly complex environments: battlefield reconnaissance, space exploration, deep-sea operations, autonomous transportation, and critical infrastructure inspection. The fundamental problem is that current autonomous systems lack a formal mechanism to regulate their own authority based on the trustworthiness of their perception. When a sensor degrades, the system either continues with dangerous inputs or shuts down entirely. Neither is acceptable in mission-critical applications.</w:t>
      </w:r>
    </w:p>
    <w:p>
      <w:pPr>
        <w:pStyle w:val="Heading2"/>
        <w:spacing w:before="300" w:after="160"/>
      </w:pPr>
      <w:r>
        <w:rPr>
          <w:rFonts w:ascii="Arial" w:cs="Arial" w:eastAsia="Arial" w:hAnsi="Arial"/>
          <w:b/>
          <w:bCs/>
          <w:color w:val="2B4570"/>
          <w:sz w:val="24"/>
          <w:szCs w:val="24"/>
        </w:rPr>
        <w:t xml:space="preserve">2.2 Alignment with U.S. National Priorities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Agency / Program</w:t>
            </w:r>
          </w:p>
        </w:tc>
        <w:tc>
          <w:tcPr>
            <w:tcW w:type="dxa" w:w="67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Relevance</w:t>
            </w:r>
          </w:p>
        </w:tc>
      </w:tr>
      <w:tr>
        <w:tc>
          <w:tcPr>
            <w:tcW w:type="dxa" w:w="2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Department of Defense</w:t>
            </w:r>
          </w:p>
        </w:tc>
        <w:tc>
          <w:tcPr>
            <w:tcW w:type="dxa" w:w="67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DoD Autonomous Systems Strategy emphasizes trusted autonomy in contested environments. This project implements trust-based authority governance.</w:t>
            </w:r>
          </w:p>
        </w:tc>
      </w:tr>
      <w:tr>
        <w:tc>
          <w:tcPr>
            <w:tcW w:type="dxa" w:w="2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DARPA</w:t>
            </w:r>
          </w:p>
        </w:tc>
        <w:tc>
          <w:tcPr>
            <w:tcW w:type="dxa" w:w="67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Programs like ACE and RACER seek autonomous systems under degraded conditions. SATA addresses sensor resilience requirements.</w:t>
            </w:r>
          </w:p>
        </w:tc>
      </w:tr>
      <w:tr>
        <w:tc>
          <w:tcPr>
            <w:tcW w:type="dxa" w:w="2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NASA</w:t>
            </w:r>
          </w:p>
        </w:tc>
        <w:tc>
          <w:tcPr>
            <w:tcW w:type="dxa" w:w="67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Space exploration requires governance frameworks functioning without real-time human oversight during communication delays.</w:t>
            </w:r>
          </w:p>
        </w:tc>
      </w:tr>
      <w:tr>
        <w:tc>
          <w:tcPr>
            <w:tcW w:type="dxa" w:w="2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NSF</w:t>
            </w:r>
          </w:p>
        </w:tc>
        <w:tc>
          <w:tcPr>
            <w:tcW w:type="dxa" w:w="67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CPS and NRI programs fund resilient autonomous systems research. The experimental methodology aligns with reproducibility emphasis.</w:t>
            </w:r>
          </w:p>
        </w:tc>
      </w:tr>
      <w:tr>
        <w:tc>
          <w:tcPr>
            <w:tcW w:type="dxa" w:w="2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NIST</w:t>
            </w:r>
          </w:p>
        </w:tc>
        <w:tc>
          <w:tcPr>
            <w:tcW w:type="dxa" w:w="67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AI trustworthiness frameworks connect directly to the SATA trust evaluation approach.</w:t>
            </w:r>
          </w:p>
        </w:tc>
      </w:tr>
      <w:tr>
        <w:tc>
          <w:tcPr>
            <w:tcW w:type="dxa" w:w="2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DOT / NHTSA</w:t>
            </w:r>
          </w:p>
        </w:tc>
        <w:tc>
          <w:tcPr>
            <w:tcW w:type="dxa" w:w="67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Autonomous vehicle safety standards require demonstrable graceful degradation, which HMAA provides.</w:t>
            </w:r>
          </w:p>
        </w:tc>
      </w:tr>
    </w:tbl>
    <w:p>
      <w:pPr>
        <w:spacing w:after="130" w:line="300"/>
        <w:jc w:val="left"/>
      </w:pPr>
      <w:r>
        <w:rPr>
          <w:rFonts w:ascii="Arial" w:cs="Arial" w:eastAsia="Arial" w:hAnsi="Arial"/>
          <w:sz w:val="21"/>
          <w:szCs w:val="21"/>
        </w:rPr>
        <w:t xml:space="preserve">The core contribution — a formally defined architecture for trust-based authority governance — is platform-agnostic, applicable to ground robots, drones, underwater vehicles, space systems, and autonomous transportation.</w:t>
      </w:r>
    </w:p>
    <w:p>
      <w:r>
        <w:br w:type="page"/>
      </w:r>
    </w:p>
    <w:p>
      <w:pPr>
        <w:pBdr>
          <w:bottom w:val="single" w:color="1A2744" w:sz="4" w:space="8"/>
        </w:pBdr>
        <w:spacing w:before="600" w:after="300"/>
        <w:jc w:val="center"/>
      </w:pPr>
      <w:r>
        <w:rPr>
          <w:rFonts w:ascii="Arial" w:cs="Arial" w:eastAsia="Arial" w:hAnsi="Arial"/>
          <w:b/>
          <w:bCs/>
          <w:color w:val="1A2744"/>
          <w:sz w:val="28"/>
          <w:szCs w:val="28"/>
        </w:rPr>
        <w:t xml:space="preserve">PART II: SYSTEM ARCHITECTURE</w:t>
      </w:r>
    </w:p>
    <w:p>
      <w:r>
        <w:br w:type="page"/>
      </w:r>
    </w:p>
    <w:p>
      <w:pPr>
        <w:pStyle w:val="Heading1"/>
        <w:spacing w:before="400" w:after="200"/>
      </w:pPr>
      <w:r>
        <w:rPr>
          <w:rFonts w:ascii="Arial" w:cs="Arial" w:eastAsia="Arial" w:hAnsi="Arial"/>
          <w:b/>
          <w:bCs/>
          <w:color w:val="1A2744"/>
          <w:sz w:val="30"/>
          <w:szCs w:val="30"/>
        </w:rPr>
        <w:t xml:space="preserve">3. System Architecture</w:t>
      </w:r>
    </w:p>
    <w:p>
      <w:pPr>
        <w:pStyle w:val="Heading2"/>
        <w:spacing w:before="300" w:after="160"/>
      </w:pPr>
      <w:r>
        <w:rPr>
          <w:rFonts w:ascii="Arial" w:cs="Arial" w:eastAsia="Arial" w:hAnsi="Arial"/>
          <w:b/>
          <w:bCs/>
          <w:color w:val="2B4570"/>
          <w:sz w:val="24"/>
          <w:szCs w:val="24"/>
        </w:rPr>
        <w:t xml:space="preserve">3.1 Core Principle</w:t>
      </w:r>
    </w:p>
    <w:p>
      <w:pPr>
        <w:spacing w:after="130" w:line="300"/>
        <w:jc w:val="left"/>
      </w:pPr>
      <w:r>
        <w:rPr>
          <w:rFonts w:ascii="Arial" w:cs="Arial" w:eastAsia="Arial" w:hAnsi="Arial"/>
          <w:sz w:val="21"/>
          <w:szCs w:val="21"/>
        </w:rPr>
        <w:t xml:space="preserve">The planner proposes. HMAA constrains. CARA overrides. The command gate enforces. The ESP32 executes or stops. At no point does the mission planner directly control the motors. Every action passes through an authority gate before reaching the actuators.</w:t>
      </w:r>
    </w:p>
    <w:p>
      <w:pPr>
        <w:pStyle w:val="Heading2"/>
        <w:spacing w:before="300" w:after="160"/>
      </w:pPr>
      <w:r>
        <w:rPr>
          <w:rFonts w:ascii="Arial" w:cs="Arial" w:eastAsia="Arial" w:hAnsi="Arial"/>
          <w:b/>
          <w:bCs/>
          <w:color w:val="2B4570"/>
          <w:sz w:val="24"/>
          <w:szCs w:val="24"/>
        </w:rPr>
        <w:t xml:space="preserve">3.2 On-Rover Autonomy Stack</w:t>
      </w:r>
    </w:p>
    <w:p>
      <w:pPr>
        <w:spacing w:after="130" w:line="300"/>
        <w:jc w:val="left"/>
      </w:pPr>
      <w:r>
        <w:rPr>
          <w:rFonts w:ascii="Arial" w:cs="Arial" w:eastAsia="Arial" w:hAnsi="Arial"/>
          <w:sz w:val="21"/>
          <w:szCs w:val="21"/>
        </w:rPr>
        <w:t xml:space="preserve">All authority-critical processing runs onboard. Loss of communications does not remove authority control.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360"/>
        <w:gridCol w:w="4000"/>
      </w:tblGrid>
      <w:tr>
        <w:tc>
          <w:tcPr>
            <w:tcW w:type="dxa" w:w="20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Layer</w:t>
            </w:r>
          </w:p>
        </w:tc>
        <w:tc>
          <w:tcPr>
            <w:tcW w:type="dxa" w:w="33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Function</w:t>
            </w:r>
          </w:p>
        </w:tc>
        <w:tc>
          <w:tcPr>
            <w:tcW w:type="dxa" w:w="40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Key Principle</w:t>
            </w:r>
          </w:p>
        </w:tc>
      </w:tr>
      <w:tr>
        <w:tc>
          <w:tcPr>
            <w:tcW w:type="dxa" w:w="2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Sensors</w:t>
            </w:r>
          </w:p>
        </w:tc>
        <w:tc>
          <w:tcPr>
            <w:tcW w:type="dxa" w:w="33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Raw data from 6 sources</w:t>
            </w:r>
          </w:p>
        </w:tc>
        <w:tc>
          <w:tcPr>
            <w:tcW w:type="dxa" w:w="4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Camera, LiDAR, ToF, IMU, encoders, RF</w:t>
            </w:r>
          </w:p>
        </w:tc>
      </w:tr>
      <w:tr>
        <w:tc>
          <w:tcPr>
            <w:tcW w:type="dxa" w:w="2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Sensor Fusion</w:t>
            </w:r>
          </w:p>
        </w:tc>
        <w:tc>
          <w:tcPr>
            <w:tcW w:type="dxa" w:w="33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Unified state estimate + health</w:t>
            </w:r>
          </w:p>
        </w:tc>
        <w:tc>
          <w:tcPr>
            <w:tcW w:type="dxa" w:w="4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Cross-sensor consistency checks</w:t>
            </w:r>
          </w:p>
        </w:tc>
      </w:tr>
      <w:tr>
        <w:tc>
          <w:tcPr>
            <w:tcW w:type="dxa" w:w="2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SATA Trust</w:t>
            </w:r>
          </w:p>
        </w:tc>
        <w:tc>
          <w:tcPr>
            <w:tcW w:type="dxa" w:w="33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Per-sensor trust + fused + anomaly</w:t>
            </w:r>
          </w:p>
        </w:tc>
        <w:tc>
          <w:tcPr>
            <w:tcW w:type="dxa" w:w="4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Dempster-Shafer evidence fusion</w:t>
            </w:r>
          </w:p>
        </w:tc>
      </w:tr>
      <w:tr>
        <w:tc>
          <w:tcPr>
            <w:tcW w:type="dxa" w:w="2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Mission Planner</w:t>
            </w:r>
          </w:p>
        </w:tc>
        <w:tc>
          <w:tcPr>
            <w:tcW w:type="dxa" w:w="33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Proposes actions</w:t>
            </w:r>
          </w:p>
        </w:tc>
        <w:tc>
          <w:tcPr>
            <w:tcW w:type="dxa" w:w="4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Proposal only, no authority</w:t>
            </w:r>
          </w:p>
        </w:tc>
      </w:tr>
      <w:tr>
        <w:tc>
          <w:tcPr>
            <w:tcW w:type="dxa" w:w="2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HMAA Authority</w:t>
            </w:r>
          </w:p>
        </w:tc>
        <w:tc>
          <w:tcPr>
            <w:tcW w:type="dxa" w:w="33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Computes authority envelope</w:t>
            </w:r>
          </w:p>
        </w:tc>
        <w:tc>
          <w:tcPr>
            <w:tcW w:type="dxa" w:w="4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A3/A2/A1/A0 state machine</w:t>
            </w:r>
          </w:p>
        </w:tc>
      </w:tr>
      <w:tr>
        <w:tc>
          <w:tcPr>
            <w:tcW w:type="dxa" w:w="2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CARA Recovery</w:t>
            </w:r>
          </w:p>
        </w:tc>
        <w:tc>
          <w:tcPr>
            <w:tcW w:type="dxa" w:w="33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Override on trust collapse</w:t>
            </w:r>
          </w:p>
        </w:tc>
        <w:tc>
          <w:tcPr>
            <w:tcW w:type="dxa" w:w="4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5 recovery modes</w:t>
            </w:r>
          </w:p>
        </w:tc>
      </w:tr>
      <w:tr>
        <w:tc>
          <w:tcPr>
            <w:tcW w:type="dxa" w:w="2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Command Gate</w:t>
            </w:r>
          </w:p>
        </w:tc>
        <w:tc>
          <w:tcPr>
            <w:tcW w:type="dxa" w:w="33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Final approved command</w:t>
            </w:r>
          </w:p>
        </w:tc>
        <w:tc>
          <w:tcPr>
            <w:tcW w:type="dxa" w:w="4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E-STOP &gt; CARA &gt; HMAA &gt; Planner</w:t>
            </w:r>
          </w:p>
        </w:tc>
      </w:tr>
      <w:tr>
        <w:tc>
          <w:tcPr>
            <w:tcW w:type="dxa" w:w="2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ESP32</w:t>
            </w:r>
          </w:p>
        </w:tc>
        <w:tc>
          <w:tcPr>
            <w:tcW w:type="dxa" w:w="33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Real-time motor execution</w:t>
            </w:r>
          </w:p>
        </w:tc>
        <w:tc>
          <w:tcPr>
            <w:tcW w:type="dxa" w:w="4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Validates, executes, or stops</w:t>
            </w:r>
          </w:p>
        </w:tc>
      </w:tr>
    </w:tbl>
    <w:p>
      <w:pPr>
        <w:pStyle w:val="Heading2"/>
        <w:spacing w:before="300" w:after="160"/>
      </w:pPr>
      <w:r>
        <w:rPr>
          <w:rFonts w:ascii="Arial" w:cs="Arial" w:eastAsia="Arial" w:hAnsi="Arial"/>
          <w:b/>
          <w:bCs/>
          <w:color w:val="2B4570"/>
          <w:sz w:val="24"/>
          <w:szCs w:val="24"/>
        </w:rPr>
        <w:t xml:space="preserve">3.3 Command Chain (Locked)</w:t>
      </w:r>
    </w:p>
    <w:p>
      <w:pPr>
        <w:spacing w:after="130" w:line="300"/>
        <w:jc w:val="left"/>
      </w:pPr>
      <w:r>
        <w:rPr>
          <w:rFonts w:ascii="Arial" w:cs="Arial" w:eastAsia="Arial" w:hAnsi="Arial"/>
          <w:sz w:val="21"/>
          <w:szCs w:val="21"/>
        </w:rPr>
        <w:t xml:space="preserve">Sensors → Sensor Fusion → SATA Trust Engine → Mission Planner (proposes) → HMAA Authority Engine (constrains) → CARA Recovery Supervisor (overrides) → Command Gate (enforces) → ESP32 (executes) → Motor Driver → Actuators.</w:t>
      </w:r>
    </w:p>
    <w:p>
      <w:pPr>
        <w:pStyle w:val="Heading2"/>
        <w:spacing w:before="300" w:after="160"/>
      </w:pPr>
      <w:r>
        <w:rPr>
          <w:rFonts w:ascii="Arial" w:cs="Arial" w:eastAsia="Arial" w:hAnsi="Arial"/>
          <w:b/>
          <w:bCs/>
          <w:color w:val="2B4570"/>
          <w:sz w:val="24"/>
          <w:szCs w:val="24"/>
        </w:rPr>
        <w:t xml:space="preserve">3.4 External Test Infrastructure (Not Part of Rover)</w:t>
      </w:r>
    </w:p>
    <w:p>
      <w:pPr>
        <w:spacing w:after="130" w:line="300"/>
        <w:jc w:val="left"/>
      </w:pPr>
      <w:r>
        <w:rPr>
          <w:rFonts w:ascii="Arial" w:cs="Arial" w:eastAsia="Arial" w:hAnsi="Arial"/>
          <w:sz w:val="21"/>
          <w:szCs w:val="21"/>
        </w:rPr>
        <w:t xml:space="preserve">The ground station provides supervision, visualization, fault injection control, experiment orchestration, log replay, and metrics analysis. The rover operates autonomously when the ground station link is degraded or lost.</w:t>
      </w:r>
    </w:p>
    <w:p>
      <w:r>
        <w:br w:type="page"/>
      </w:r>
    </w:p>
    <w:p>
      <w:pPr>
        <w:pBdr>
          <w:bottom w:val="single" w:color="1A2744" w:sz="4" w:space="8"/>
        </w:pBdr>
        <w:spacing w:before="600" w:after="300"/>
        <w:jc w:val="center"/>
      </w:pPr>
      <w:r>
        <w:rPr>
          <w:rFonts w:ascii="Arial" w:cs="Arial" w:eastAsia="Arial" w:hAnsi="Arial"/>
          <w:b/>
          <w:bCs/>
          <w:color w:val="1A2744"/>
          <w:sz w:val="28"/>
          <w:szCs w:val="28"/>
        </w:rPr>
        <w:t xml:space="preserve">PART III: AUTHORITY GOVERNANCE SPECIFICATION</w:t>
      </w:r>
    </w:p>
    <w:p>
      <w:r>
        <w:br w:type="page"/>
      </w:r>
    </w:p>
    <w:p>
      <w:pPr>
        <w:pStyle w:val="Heading1"/>
        <w:spacing w:before="400" w:after="200"/>
      </w:pPr>
      <w:r>
        <w:rPr>
          <w:rFonts w:ascii="Arial" w:cs="Arial" w:eastAsia="Arial" w:hAnsi="Arial"/>
          <w:b/>
          <w:bCs/>
          <w:color w:val="1A2744"/>
          <w:sz w:val="30"/>
          <w:szCs w:val="30"/>
        </w:rPr>
        <w:t xml:space="preserve">4. HMAA Authority State Machine</w:t>
      </w:r>
    </w:p>
    <w:p>
      <w:pPr>
        <w:pStyle w:val="Heading2"/>
        <w:spacing w:before="300" w:after="160"/>
      </w:pPr>
      <w:r>
        <w:rPr>
          <w:rFonts w:ascii="Arial" w:cs="Arial" w:eastAsia="Arial" w:hAnsi="Arial"/>
          <w:b/>
          <w:bCs/>
          <w:color w:val="2B4570"/>
          <w:sz w:val="24"/>
          <w:szCs w:val="24"/>
        </w:rPr>
        <w:t xml:space="preserve">4.1 Authority Levels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1500"/>
        <w:gridCol w:w="1000"/>
        <w:gridCol w:w="5960"/>
      </w:tblGrid>
      <w:tr>
        <w:tc>
          <w:tcPr>
            <w:tcW w:type="dxa" w:w="9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Level</w:t>
            </w:r>
          </w:p>
        </w:tc>
        <w:tc>
          <w:tcPr>
            <w:tcW w:type="dxa" w:w="15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Name</w:t>
            </w:r>
          </w:p>
        </w:tc>
        <w:tc>
          <w:tcPr>
            <w:tcW w:type="dxa" w:w="10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Speed</w:t>
            </w:r>
          </w:p>
        </w:tc>
        <w:tc>
          <w:tcPr>
            <w:tcW w:type="dxa" w:w="59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Conditions</w:t>
            </w:r>
          </w:p>
        </w:tc>
      </w:tr>
      <w:tr>
        <w:tc>
          <w:tcPr>
            <w:tcW w:type="dxa" w:w="9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A3</w:t>
            </w:r>
          </w:p>
        </w:tc>
        <w:tc>
          <w:tcPr>
            <w:tcW w:type="dxa" w:w="15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Full</w:t>
            </w:r>
          </w:p>
        </w:tc>
        <w:tc>
          <w:tcPr>
            <w:tcW w:type="dxa" w:w="1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100%</w:t>
            </w:r>
          </w:p>
        </w:tc>
        <w:tc>
          <w:tcPr>
            <w:tcW w:type="dxa" w:w="59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fused_trust &gt;= 0.80 sustained 10s, no anomalies, stepped up from A2</w:t>
            </w:r>
          </w:p>
        </w:tc>
      </w:tr>
      <w:tr>
        <w:tc>
          <w:tcPr>
            <w:tcW w:type="dxa" w:w="9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A2</w:t>
            </w:r>
          </w:p>
        </w:tc>
        <w:tc>
          <w:tcPr>
            <w:tcW w:type="dxa" w:w="15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Restricted</w:t>
            </w:r>
          </w:p>
        </w:tc>
        <w:tc>
          <w:tcPr>
            <w:tcW w:type="dxa" w:w="1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50%</w:t>
            </w:r>
          </w:p>
        </w:tc>
        <w:tc>
          <w:tcPr>
            <w:tcW w:type="dxa" w:w="59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0.50 &lt;= trust &lt; 0.80 OR any anomaly flag active. Min dwell: 5s.</w:t>
            </w:r>
          </w:p>
        </w:tc>
      </w:tr>
      <w:tr>
        <w:tc>
          <w:tcPr>
            <w:tcW w:type="dxa" w:w="9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A1</w:t>
            </w:r>
          </w:p>
        </w:tc>
        <w:tc>
          <w:tcPr>
            <w:tcW w:type="dxa" w:w="15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Minimal</w:t>
            </w:r>
          </w:p>
        </w:tc>
        <w:tc>
          <w:tcPr>
            <w:tcW w:type="dxa" w:w="1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20%</w:t>
            </w:r>
          </w:p>
        </w:tc>
        <w:tc>
          <w:tcPr>
            <w:tcW w:type="dxa" w:w="59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0.25 &lt;= trust &lt; 0.50 OR &gt;= 2 anomaly flags OR &gt;= 2 sensors below 0.3. Min dwell: 5s.</w:t>
            </w:r>
          </w:p>
        </w:tc>
      </w:tr>
      <w:tr>
        <w:tc>
          <w:tcPr>
            <w:tcW w:type="dxa" w:w="9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A0</w:t>
            </w:r>
          </w:p>
        </w:tc>
        <w:tc>
          <w:tcPr>
            <w:tcW w:type="dxa" w:w="15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Revoked</w:t>
            </w:r>
          </w:p>
        </w:tc>
        <w:tc>
          <w:tcPr>
            <w:tcW w:type="dxa" w:w="1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0%</w:t>
            </w:r>
          </w:p>
        </w:tc>
        <w:tc>
          <w:tcPr>
            <w:tcW w:type="dxa" w:w="59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trust &lt; 0.25 OR critical fault OR watchdog trip OR E-stop pressed.</w:t>
            </w:r>
          </w:p>
        </w:tc>
      </w:tr>
    </w:tbl>
    <w:p>
      <w:pPr>
        <w:pStyle w:val="Heading2"/>
        <w:spacing w:before="300" w:after="160"/>
      </w:pPr>
      <w:r>
        <w:rPr>
          <w:rFonts w:ascii="Arial" w:cs="Arial" w:eastAsia="Arial" w:hAnsi="Arial"/>
          <w:b/>
          <w:bCs/>
          <w:color w:val="2B4570"/>
          <w:sz w:val="24"/>
          <w:szCs w:val="24"/>
        </w:rPr>
        <w:t xml:space="preserve">4.2 Transition Rules</w:t>
      </w:r>
    </w:p>
    <w:p>
      <w:pPr>
        <w:spacing w:after="110" w:line="300"/>
      </w:pPr>
      <w:r>
        <w:rPr>
          <w:rFonts w:ascii="Arial" w:cs="Arial" w:eastAsia="Arial" w:hAnsi="Arial"/>
          <w:b/>
          <w:bCs/>
          <w:sz w:val="21"/>
          <w:szCs w:val="21"/>
        </w:rPr>
        <w:t xml:space="preserve">Downward transitions (losing authority):</w:t>
      </w:r>
    </w:p>
    <w:p>
      <w:pPr>
        <w:spacing w:after="130" w:line="300"/>
        <w:jc w:val="left"/>
      </w:pPr>
      <w:r>
        <w:rPr>
          <w:rFonts w:ascii="Arial" w:cs="Arial" w:eastAsia="Arial" w:hAnsi="Arial"/>
          <w:sz w:val="21"/>
          <w:szCs w:val="21"/>
        </w:rPr>
        <w:t xml:space="preserve">Immediate. Can skip levels. A3 can go directly to A0 on critical fault. Fast response to danger.</w:t>
      </w:r>
    </w:p>
    <w:p>
      <w:pPr>
        <w:spacing w:after="110" w:line="300"/>
      </w:pPr>
      <w:r>
        <w:rPr>
          <w:rFonts w:ascii="Arial" w:cs="Arial" w:eastAsia="Arial" w:hAnsi="Arial"/>
          <w:b/>
          <w:bCs/>
          <w:sz w:val="21"/>
          <w:szCs w:val="21"/>
        </w:rPr>
        <w:t xml:space="preserve">Upward transitions (regaining authority):</w:t>
      </w:r>
    </w:p>
    <w:p>
      <w:pPr>
        <w:spacing w:after="130" w:line="300"/>
        <w:jc w:val="left"/>
      </w:pPr>
      <w:r>
        <w:rPr>
          <w:rFonts w:ascii="Arial" w:cs="Arial" w:eastAsia="Arial" w:hAnsi="Arial"/>
          <w:sz w:val="21"/>
          <w:szCs w:val="21"/>
        </w:rPr>
        <w:t xml:space="preserve">Must proceed one step at a time: A0 → A1 → A2 → A3. Each step requires the target state's entry conditions sustained for the full minimum dwell time. Cannot jump from A0 to A3. Gradual trust verification.</w:t>
      </w:r>
    </w:p>
    <w:p>
      <w:pPr>
        <w:pStyle w:val="Heading2"/>
        <w:spacing w:before="300" w:after="160"/>
      </w:pPr>
      <w:r>
        <w:rPr>
          <w:rFonts w:ascii="Arial" w:cs="Arial" w:eastAsia="Arial" w:hAnsi="Arial"/>
          <w:b/>
          <w:bCs/>
          <w:color w:val="2B4570"/>
          <w:sz w:val="24"/>
          <w:szCs w:val="24"/>
        </w:rPr>
        <w:t xml:space="preserve">4.3 Hysteresis</w:t>
      </w:r>
    </w:p>
    <w:p>
      <w:pPr>
        <w:spacing w:after="130" w:line="300"/>
        <w:jc w:val="left"/>
      </w:pPr>
      <w:r>
        <w:rPr>
          <w:rFonts w:ascii="Arial" w:cs="Arial" w:eastAsia="Arial" w:hAnsi="Arial"/>
          <w:sz w:val="21"/>
          <w:szCs w:val="21"/>
        </w:rPr>
        <w:t xml:space="preserve">Drop threshold A3→A2: fused trust below 0.80. Recovery threshold A2→A3: fused trust above 0.80 sustained for 10 seconds. The gap and time requirement prevent rapid bouncing near the boundary.</w:t>
      </w:r>
    </w:p>
    <w:p>
      <w:pPr>
        <w:pStyle w:val="Heading2"/>
        <w:spacing w:before="300" w:after="160"/>
      </w:pPr>
      <w:r>
        <w:rPr>
          <w:rFonts w:ascii="Arial" w:cs="Arial" w:eastAsia="Arial" w:hAnsi="Arial"/>
          <w:b/>
          <w:bCs/>
          <w:color w:val="2B4570"/>
          <w:sz w:val="24"/>
          <w:szCs w:val="24"/>
        </w:rPr>
        <w:t xml:space="preserve">4.4 Oscillation Guard</w:t>
      </w:r>
    </w:p>
    <w:p>
      <w:pPr>
        <w:spacing w:after="130" w:line="300"/>
        <w:jc w:val="left"/>
      </w:pPr>
      <w:r>
        <w:rPr>
          <w:rFonts w:ascii="Arial" w:cs="Arial" w:eastAsia="Arial" w:hAnsi="Arial"/>
          <w:sz w:val="21"/>
          <w:szCs w:val="21"/>
        </w:rPr>
        <w:t xml:space="preserve">If more than 3 transitions occur within 30 seconds, the system locks at the lowest level reached. Requires either 60 seconds of stability or manual reset before any upgrade.</w:t>
      </w:r>
    </w:p>
    <w:p>
      <w:r>
        <w:br w:type="page"/>
      </w:r>
    </w:p>
    <w:p>
      <w:pPr>
        <w:pStyle w:val="Heading1"/>
        <w:spacing w:before="400" w:after="200"/>
      </w:pPr>
      <w:r>
        <w:rPr>
          <w:rFonts w:ascii="Arial" w:cs="Arial" w:eastAsia="Arial" w:hAnsi="Arial"/>
          <w:b/>
          <w:bCs/>
          <w:color w:val="1A2744"/>
          <w:sz w:val="30"/>
          <w:szCs w:val="30"/>
        </w:rPr>
        <w:t xml:space="preserve">5. SATA Trust Fusion Specification</w:t>
      </w:r>
    </w:p>
    <w:p>
      <w:pPr>
        <w:pStyle w:val="Heading2"/>
        <w:spacing w:before="300" w:after="160"/>
      </w:pPr>
      <w:r>
        <w:rPr>
          <w:rFonts w:ascii="Arial" w:cs="Arial" w:eastAsia="Arial" w:hAnsi="Arial"/>
          <w:b/>
          <w:bCs/>
          <w:color w:val="2B4570"/>
          <w:sz w:val="24"/>
          <w:szCs w:val="24"/>
        </w:rPr>
        <w:t xml:space="preserve">5.1 Per-Sensor Trust Computation</w:t>
      </w:r>
    </w:p>
    <w:p>
      <w:pPr>
        <w:spacing w:after="130" w:line="300"/>
        <w:jc w:val="left"/>
      </w:pPr>
      <w:r>
        <w:rPr>
          <w:rFonts w:ascii="Arial" w:cs="Arial" w:eastAsia="Arial" w:hAnsi="Arial"/>
          <w:sz w:val="21"/>
          <w:szCs w:val="21"/>
        </w:rPr>
        <w:t xml:space="preserve">General form: T_sensor = exp(-E_sensor), where E is a weighted error metric. Range: [0.0, 1.0].</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3930"/>
        <w:gridCol w:w="3930"/>
      </w:tblGrid>
      <w:tr>
        <w:tc>
          <w:tcPr>
            <w:tcW w:type="dxa" w:w="15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Sensor</w:t>
            </w:r>
          </w:p>
        </w:tc>
        <w:tc>
          <w:tcPr>
            <w:tcW w:type="dxa" w:w="393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Trust Metrics</w:t>
            </w:r>
          </w:p>
        </w:tc>
        <w:tc>
          <w:tcPr>
            <w:tcW w:type="dxa" w:w="393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Cross-Check</w:t>
            </w:r>
          </w:p>
        </w:tc>
      </w:tr>
      <w:tr>
        <w:tc>
          <w:tcPr>
            <w:tcW w:type="dxa" w:w="15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Camera</w:t>
            </w:r>
          </w:p>
        </w:tc>
        <w:tc>
          <w:tcPr>
            <w:tcW w:type="dxa" w:w="393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Feature density, optical flow, exposure validity</w:t>
            </w:r>
          </w:p>
        </w:tc>
        <w:tc>
          <w:tcPr>
            <w:tcW w:type="dxa" w:w="393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Flow vs IMU + odometry predicted motion</w:t>
            </w:r>
          </w:p>
        </w:tc>
      </w:tr>
      <w:tr>
        <w:tc>
          <w:tcPr>
            <w:tcW w:type="dxa" w:w="15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LiDAR</w:t>
            </w:r>
          </w:p>
        </w:tc>
        <w:tc>
          <w:tcPr>
            <w:tcW w:type="dxa" w:w="393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Scan completeness, range variance, point density</w:t>
            </w:r>
          </w:p>
        </w:tc>
        <w:tc>
          <w:tcPr>
            <w:tcW w:type="dxa" w:w="393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LiDAR range vs ToF range in overlap zone</w:t>
            </w:r>
          </w:p>
        </w:tc>
      </w:tr>
      <w:tr>
        <w:tc>
          <w:tcPr>
            <w:tcW w:type="dxa" w:w="15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ToF</w:t>
            </w:r>
          </w:p>
        </w:tc>
        <w:tc>
          <w:tcPr>
            <w:tcW w:type="dxa" w:w="393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Range stability, jitter, dropout rate</w:t>
            </w:r>
          </w:p>
        </w:tc>
        <w:tc>
          <w:tcPr>
            <w:tcW w:type="dxa" w:w="393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ToF range vs LiDAR range in overlap zone</w:t>
            </w:r>
          </w:p>
        </w:tc>
      </w:tr>
      <w:tr>
        <w:tc>
          <w:tcPr>
            <w:tcW w:type="dxa" w:w="15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IMU</w:t>
            </w:r>
          </w:p>
        </w:tc>
        <w:tc>
          <w:tcPr>
            <w:tcW w:type="dxa" w:w="393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Gyro bias, accel noise, motion consistency</w:t>
            </w:r>
          </w:p>
        </w:tc>
        <w:tc>
          <w:tcPr>
            <w:tcW w:type="dxa" w:w="393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IMU angular rate vs encoder differential</w:t>
            </w:r>
          </w:p>
        </w:tc>
      </w:tr>
      <w:tr>
        <w:tc>
          <w:tcPr>
            <w:tcW w:type="dxa" w:w="15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Odometry</w:t>
            </w:r>
          </w:p>
        </w:tc>
        <w:tc>
          <w:tcPr>
            <w:tcW w:type="dxa" w:w="393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Encoder consistency, wheel slip detection</w:t>
            </w:r>
          </w:p>
        </w:tc>
        <w:tc>
          <w:tcPr>
            <w:tcW w:type="dxa" w:w="393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Encoder distance vs IMU integrated distance</w:t>
            </w:r>
          </w:p>
        </w:tc>
      </w:tr>
      <w:tr>
        <w:tc>
          <w:tcPr>
            <w:tcW w:type="dxa" w:w="15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RF Comms</w:t>
            </w:r>
          </w:p>
        </w:tc>
        <w:tc>
          <w:tcPr>
            <w:tcW w:type="dxa" w:w="393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Packet loss, heartbeat delay, latency</w:t>
            </w:r>
          </w:p>
        </w:tc>
        <w:tc>
          <w:tcPr>
            <w:tcW w:type="dxa" w:w="393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Independent channel (no cross-check)</w:t>
            </w:r>
          </w:p>
        </w:tc>
      </w:tr>
    </w:tbl>
    <w:p>
      <w:pPr>
        <w:pStyle w:val="Heading2"/>
        <w:spacing w:before="300" w:after="160"/>
      </w:pPr>
      <w:r>
        <w:rPr>
          <w:rFonts w:ascii="Arial" w:cs="Arial" w:eastAsia="Arial" w:hAnsi="Arial"/>
          <w:b/>
          <w:bCs/>
          <w:color w:val="2B4570"/>
          <w:sz w:val="24"/>
          <w:szCs w:val="24"/>
        </w:rPr>
        <w:t xml:space="preserve">5.2 Sensor Disagreement Metric</w:t>
      </w:r>
    </w:p>
    <w:p>
      <w:pPr>
        <w:spacing w:before="80" w:after="80"/>
        <w:ind w:left="720"/>
      </w:pPr>
      <w:r>
        <w:rPr>
          <w:rFonts w:ascii="Courier New" w:cs="Courier New" w:eastAsia="Courier New" w:hAnsi="Courier New"/>
          <w:color w:val="333333"/>
          <w:sz w:val="20"/>
          <w:szCs w:val="20"/>
        </w:rPr>
        <w:t xml:space="preserve">D_total = α₁·|range_lidar − range_tof|</w:t>
      </w:r>
    </w:p>
    <w:p>
      <w:pPr>
        <w:spacing w:before="80" w:after="80"/>
        <w:ind w:left="720"/>
      </w:pPr>
      <w:r>
        <w:rPr>
          <w:rFonts w:ascii="Courier New" w:cs="Courier New" w:eastAsia="Courier New" w:hAnsi="Courier New"/>
          <w:color w:val="333333"/>
          <w:sz w:val="20"/>
          <w:szCs w:val="20"/>
        </w:rPr>
        <w:t xml:space="preserve">       + α₂·|heading_imu − heading_odometry|</w:t>
      </w:r>
    </w:p>
    <w:p>
      <w:pPr>
        <w:spacing w:before="80" w:after="80"/>
        <w:ind w:left="720"/>
      </w:pPr>
      <w:r>
        <w:rPr>
          <w:rFonts w:ascii="Courier New" w:cs="Courier New" w:eastAsia="Courier New" w:hAnsi="Courier New"/>
          <w:color w:val="333333"/>
          <w:sz w:val="20"/>
          <w:szCs w:val="20"/>
        </w:rPr>
        <w:t xml:space="preserve">       + α₃·|optical_flow − predicted_motion|</w:t>
      </w:r>
    </w:p>
    <w:p>
      <w:pPr>
        <w:pStyle w:val="Heading2"/>
        <w:spacing w:before="300" w:after="160"/>
      </w:pPr>
      <w:r>
        <w:rPr>
          <w:rFonts w:ascii="Arial" w:cs="Arial" w:eastAsia="Arial" w:hAnsi="Arial"/>
          <w:b/>
          <w:bCs/>
          <w:color w:val="2B4570"/>
          <w:sz w:val="24"/>
          <w:szCs w:val="24"/>
        </w:rPr>
        <w:t xml:space="preserve">5.3 Fusion Formula</w:t>
      </w:r>
    </w:p>
    <w:p>
      <w:pPr>
        <w:spacing w:before="80" w:after="80"/>
        <w:ind w:left="720"/>
      </w:pPr>
      <w:r>
        <w:rPr>
          <w:rFonts w:ascii="Courier New" w:cs="Courier New" w:eastAsia="Courier New" w:hAnsi="Courier New"/>
          <w:color w:val="333333"/>
          <w:sz w:val="20"/>
          <w:szCs w:val="20"/>
        </w:rPr>
        <w:t xml:space="preserve">T_base = 0.25·T_cam + 0.25·T_lidar + 0.15·T_tof</w:t>
      </w:r>
    </w:p>
    <w:p>
      <w:pPr>
        <w:spacing w:before="80" w:after="80"/>
        <w:ind w:left="720"/>
      </w:pPr>
      <w:r>
        <w:rPr>
          <w:rFonts w:ascii="Courier New" w:cs="Courier New" w:eastAsia="Courier New" w:hAnsi="Courier New"/>
          <w:color w:val="333333"/>
          <w:sz w:val="20"/>
          <w:szCs w:val="20"/>
        </w:rPr>
        <w:t xml:space="preserve">       + 0.15·T_imu + 0.10·T_odo + 0.10·T_rf</w:t>
      </w:r>
    </w:p>
    <w:p>
      <w:pPr>
        <w:spacing w:before="80" w:after="80"/>
        <w:ind w:left="720"/>
      </w:pPr>
      <w:r>
        <w:rPr>
          <w:rFonts w:ascii="Courier New" w:cs="Courier New" w:eastAsia="Courier New" w:hAnsi="Courier New"/>
          <w:color w:val="333333"/>
          <w:sz w:val="20"/>
          <w:szCs w:val="20"/>
        </w:rPr>
        <w:t xml:space="preserve">T_fused = max(0, min(1, T_base − λ·D_total))</w:t>
      </w:r>
    </w:p>
    <w:p>
      <w:pPr>
        <w:pStyle w:val="Heading2"/>
        <w:spacing w:before="300" w:after="160"/>
      </w:pPr>
      <w:r>
        <w:rPr>
          <w:rFonts w:ascii="Arial" w:cs="Arial" w:eastAsia="Arial" w:hAnsi="Arial"/>
          <w:b/>
          <w:bCs/>
          <w:color w:val="2B4570"/>
          <w:sz w:val="24"/>
          <w:szCs w:val="24"/>
        </w:rPr>
        <w:t xml:space="preserve">5.4 Fusion Method: Dempster-Shafer Evidence Theory</w:t>
      </w:r>
    </w:p>
    <w:p>
      <w:pPr>
        <w:spacing w:after="130" w:line="300"/>
        <w:jc w:val="left"/>
      </w:pPr>
      <w:r>
        <w:rPr>
          <w:rFonts w:ascii="Arial" w:cs="Arial" w:eastAsia="Arial" w:hAnsi="Arial"/>
          <w:sz w:val="21"/>
          <w:szCs w:val="21"/>
        </w:rPr>
        <w:t xml:space="preserve">Each sensor provides a belief mass function over three states: TRUSTED, DEGRADED, COMPROMISED. The Dempster-Shafer combination rule merges evidence from all sensors, naturally handling disagreement and ignorance.</w:t>
      </w:r>
    </w:p>
    <w:p>
      <w:pPr>
        <w:pStyle w:val="Heading2"/>
        <w:spacing w:before="300" w:after="160"/>
      </w:pPr>
      <w:r>
        <w:rPr>
          <w:rFonts w:ascii="Arial" w:cs="Arial" w:eastAsia="Arial" w:hAnsi="Arial"/>
          <w:b/>
          <w:bCs/>
          <w:color w:val="2B4570"/>
          <w:sz w:val="24"/>
          <w:szCs w:val="24"/>
        </w:rPr>
        <w:t xml:space="preserve">5.5 Anomaly Flags and Single-Sensor Veto</w:t>
      </w:r>
    </w:p>
    <w:p>
      <w:pPr>
        <w:spacing w:after="130" w:line="300"/>
        <w:jc w:val="left"/>
      </w:pPr>
      <w:r>
        <w:rPr>
          <w:rFonts w:ascii="Arial" w:cs="Arial" w:eastAsia="Arial" w:hAnsi="Arial"/>
          <w:sz w:val="21"/>
          <w:szCs w:val="21"/>
        </w:rPr>
        <w:t xml:space="preserve">If T_sensor &lt; 0.2: anomaly_flag = TRUE. If sensor_fault_duration &gt; 5 seconds: sensor_trust forced to 0. If any sensor belief in COMPROMISED &gt; 0.8: single-sensor veto triggers regardless of fused score.</w:t>
      </w:r>
    </w:p>
    <w:p>
      <w:pPr>
        <w:pStyle w:val="Heading2"/>
        <w:spacing w:before="300" w:after="160"/>
      </w:pPr>
      <w:r>
        <w:rPr>
          <w:rFonts w:ascii="Arial" w:cs="Arial" w:eastAsia="Arial" w:hAnsi="Arial"/>
          <w:b/>
          <w:bCs/>
          <w:color w:val="2B4570"/>
          <w:sz w:val="24"/>
          <w:szCs w:val="24"/>
        </w:rPr>
        <w:t xml:space="preserve">5.6 Trust Dynamics (Asymmetric Decay/Recovery)</w:t>
      </w:r>
    </w:p>
    <w:p>
      <w:pPr>
        <w:spacing w:after="130" w:line="300"/>
        <w:jc w:val="left"/>
      </w:pPr>
      <w:r>
        <w:rPr>
          <w:rFonts w:ascii="Arial" w:cs="Arial" w:eastAsia="Arial" w:hAnsi="Arial"/>
          <w:sz w:val="21"/>
          <w:szCs w:val="21"/>
        </w:rPr>
        <w:t xml:space="preserve">Decay on anomaly: −0.1/s. Recovery when clear: +0.05/s. Trust falls twice as fast as it recovers, providing natural hysteresis. Persistent fault (&gt;5s) forces trust to zero immediately.</w:t>
      </w:r>
    </w:p>
    <w:p>
      <w:pPr>
        <w:pStyle w:val="Heading2"/>
        <w:spacing w:before="300" w:after="160"/>
      </w:pPr>
      <w:r>
        <w:rPr>
          <w:rFonts w:ascii="Arial" w:cs="Arial" w:eastAsia="Arial" w:hAnsi="Arial"/>
          <w:b/>
          <w:bCs/>
          <w:color w:val="2B4570"/>
          <w:sz w:val="24"/>
          <w:szCs w:val="24"/>
        </w:rPr>
        <w:t xml:space="preserve">5.7 Worked Example</w:t>
      </w:r>
    </w:p>
    <w:p>
      <w:pPr>
        <w:spacing w:after="130" w:line="300"/>
        <w:jc w:val="left"/>
      </w:pPr>
      <w:r>
        <w:rPr>
          <w:rFonts w:ascii="Arial" w:cs="Arial" w:eastAsia="Arial" w:hAnsi="Arial"/>
          <w:sz w:val="21"/>
          <w:szCs w:val="21"/>
        </w:rPr>
        <w:t xml:space="preserve">Normal: T_cam=0.9, T_lidar=0.95, T_tof=0.9, T_imu=0.9, T_odo=0.9, T_rf=0.95 → T_fused≈0.92 → A3.</w:t>
      </w:r>
    </w:p>
    <w:p>
      <w:pPr>
        <w:spacing w:after="130" w:line="300"/>
        <w:jc w:val="left"/>
      </w:pPr>
      <w:r>
        <w:rPr>
          <w:rFonts w:ascii="Arial" w:cs="Arial" w:eastAsia="Arial" w:hAnsi="Arial"/>
          <w:sz w:val="21"/>
          <w:szCs w:val="21"/>
        </w:rPr>
        <w:t xml:space="preserve">Camera occluded: T_cam=0.2, others≈0.9 → T_fused≈0.73 → A2. Robot slows to 50%.</w:t>
      </w:r>
    </w:p>
    <w:p>
      <w:pPr>
        <w:spacing w:after="130" w:line="300"/>
        <w:jc w:val="left"/>
      </w:pPr>
      <w:r>
        <w:rPr>
          <w:rFonts w:ascii="Arial" w:cs="Arial" w:eastAsia="Arial" w:hAnsi="Arial"/>
          <w:sz w:val="21"/>
          <w:szCs w:val="21"/>
        </w:rPr>
        <w:t xml:space="preserve">LiDAR spoofed: T_cam=0.2, T_lidar=0.1, others≈0.9 → T_fused≈0.38 → A1. Robot crawls at 20%.</w:t>
      </w:r>
    </w:p>
    <w:p>
      <w:pPr>
        <w:spacing w:after="130" w:line="300"/>
        <w:jc w:val="left"/>
      </w:pPr>
      <w:r>
        <w:rPr>
          <w:rFonts w:ascii="Arial" w:cs="Arial" w:eastAsia="Arial" w:hAnsi="Arial"/>
          <w:sz w:val="21"/>
          <w:szCs w:val="21"/>
        </w:rPr>
        <w:t xml:space="preserve">RF lost: T_cam=0.2, T_lidar=0.1, T_rf=0.0 → T_fused≈0.18 → A0. CARA safe-stop.</w:t>
      </w:r>
    </w:p>
    <w:p>
      <w:r>
        <w:br w:type="page"/>
      </w:r>
    </w:p>
    <w:p>
      <w:pPr>
        <w:pStyle w:val="Heading1"/>
        <w:spacing w:before="400" w:after="200"/>
      </w:pPr>
      <w:r>
        <w:rPr>
          <w:rFonts w:ascii="Arial" w:cs="Arial" w:eastAsia="Arial" w:hAnsi="Arial"/>
          <w:b/>
          <w:bCs/>
          <w:color w:val="1A2744"/>
          <w:sz w:val="30"/>
          <w:szCs w:val="30"/>
        </w:rPr>
        <w:t xml:space="preserve">6. Command Gate Protocol</w:t>
      </w:r>
    </w:p>
    <w:p>
      <w:pPr>
        <w:pStyle w:val="Heading2"/>
        <w:spacing w:before="300" w:after="160"/>
      </w:pPr>
      <w:r>
        <w:rPr>
          <w:rFonts w:ascii="Arial" w:cs="Arial" w:eastAsia="Arial" w:hAnsi="Arial"/>
          <w:b/>
          <w:bCs/>
          <w:color w:val="2B4570"/>
          <w:sz w:val="24"/>
          <w:szCs w:val="24"/>
        </w:rPr>
        <w:t xml:space="preserve">6.1 Packet Format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Field</w:t>
            </w:r>
          </w:p>
        </w:tc>
        <w:tc>
          <w:tcPr>
            <w:tcW w:type="dxa" w:w="71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Description</w:t>
            </w:r>
          </w:p>
        </w:tc>
      </w:tr>
      <w:tr>
        <w:tc>
          <w:tcPr>
            <w:tcW w:type="dxa" w:w="2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seq_id</w:t>
            </w:r>
          </w:p>
        </w:tc>
        <w:tc>
          <w:tcPr>
            <w:tcW w:type="dxa" w:w="71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Monotonic sequence number for ordering and loss detection</w:t>
            </w:r>
          </w:p>
        </w:tc>
      </w:tr>
      <w:tr>
        <w:tc>
          <w:tcPr>
            <w:tcW w:type="dxa" w:w="2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timestamp</w:t>
            </w:r>
          </w:p>
        </w:tc>
        <w:tc>
          <w:tcPr>
            <w:tcW w:type="dxa" w:w="71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Synchronized timestamp for latency measurement</w:t>
            </w:r>
          </w:p>
        </w:tc>
      </w:tr>
      <w:tr>
        <w:tc>
          <w:tcPr>
            <w:tcW w:type="dxa" w:w="2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authority_level</w:t>
            </w:r>
          </w:p>
        </w:tc>
        <w:tc>
          <w:tcPr>
            <w:tcW w:type="dxa" w:w="71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Current A3/A2/A1/A0 level</w:t>
            </w:r>
          </w:p>
        </w:tc>
      </w:tr>
      <w:tr>
        <w:tc>
          <w:tcPr>
            <w:tcW w:type="dxa" w:w="2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velocity_cmd</w:t>
            </w:r>
          </w:p>
        </w:tc>
        <w:tc>
          <w:tcPr>
            <w:tcW w:type="dxa" w:w="71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Approved linear velocity (clamped to envelope)</w:t>
            </w:r>
          </w:p>
        </w:tc>
      </w:tr>
      <w:tr>
        <w:tc>
          <w:tcPr>
            <w:tcW w:type="dxa" w:w="2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turn_cmd</w:t>
            </w:r>
          </w:p>
        </w:tc>
        <w:tc>
          <w:tcPr>
            <w:tcW w:type="dxa" w:w="71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Approved angular velocity (clamped to envelope)</w:t>
            </w:r>
          </w:p>
        </w:tc>
      </w:tr>
      <w:tr>
        <w:tc>
          <w:tcPr>
            <w:tcW w:type="dxa" w:w="2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source_flag</w:t>
            </w:r>
          </w:p>
        </w:tc>
        <w:tc>
          <w:tcPr>
            <w:tcW w:type="dxa" w:w="71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PLANNER, CARA, or ESTOP (indicates command origin)</w:t>
            </w:r>
          </w:p>
        </w:tc>
      </w:tr>
      <w:tr>
        <w:tc>
          <w:tcPr>
            <w:tcW w:type="dxa" w:w="2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crc16</w:t>
            </w:r>
          </w:p>
        </w:tc>
        <w:tc>
          <w:tcPr>
            <w:tcW w:type="dxa" w:w="71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Packet integrity check</w:t>
            </w:r>
          </w:p>
        </w:tc>
      </w:tr>
    </w:tbl>
    <w:p>
      <w:pPr>
        <w:pStyle w:val="Heading2"/>
        <w:spacing w:before="300" w:after="160"/>
      </w:pPr>
      <w:r>
        <w:rPr>
          <w:rFonts w:ascii="Arial" w:cs="Arial" w:eastAsia="Arial" w:hAnsi="Arial"/>
          <w:b/>
          <w:bCs/>
          <w:color w:val="2B4570"/>
          <w:sz w:val="24"/>
          <w:szCs w:val="24"/>
        </w:rPr>
        <w:t xml:space="preserve">6.2 Priority Rules</w:t>
      </w:r>
    </w:p>
    <w:p>
      <w:pPr>
        <w:spacing w:after="130" w:line="300"/>
        <w:jc w:val="left"/>
      </w:pPr>
      <w:r>
        <w:rPr>
          <w:rFonts w:ascii="Arial" w:cs="Arial" w:eastAsia="Arial" w:hAnsi="Arial"/>
          <w:sz w:val="21"/>
          <w:szCs w:val="21"/>
        </w:rPr>
        <w:t xml:space="preserve">E-STOP &gt; CARA &gt; HMAA &gt; Planner. Planner commands are clamped to the HMAA envelope, not rejected. CARA commands override the planner entirely. E-stop forces zero velocity.</w:t>
      </w:r>
    </w:p>
    <w:p>
      <w:pPr>
        <w:pStyle w:val="Heading2"/>
        <w:spacing w:before="300" w:after="160"/>
      </w:pPr>
      <w:r>
        <w:rPr>
          <w:rFonts w:ascii="Arial" w:cs="Arial" w:eastAsia="Arial" w:hAnsi="Arial"/>
          <w:b/>
          <w:bCs/>
          <w:color w:val="2B4570"/>
          <w:sz w:val="24"/>
          <w:szCs w:val="24"/>
        </w:rPr>
        <w:t xml:space="preserve">6.3 Clamping Behavior</w:t>
      </w:r>
    </w:p>
    <w:p>
      <w:pPr>
        <w:spacing w:after="130" w:line="300"/>
        <w:jc w:val="left"/>
      </w:pPr>
      <w:r>
        <w:rPr>
          <w:rFonts w:ascii="Arial" w:cs="Arial" w:eastAsia="Arial" w:hAnsi="Arial"/>
          <w:sz w:val="21"/>
          <w:szCs w:val="21"/>
        </w:rPr>
        <w:t xml:space="preserve">If the planner wants 0.8 m/s but HMAA allows 0.4, the gate outputs 0.4. The planner keeps navigating at reduced capability.</w:t>
      </w:r>
    </w:p>
    <w:p>
      <w:pPr>
        <w:pStyle w:val="Heading2"/>
        <w:spacing w:before="300" w:after="160"/>
      </w:pPr>
      <w:r>
        <w:rPr>
          <w:rFonts w:ascii="Arial" w:cs="Arial" w:eastAsia="Arial" w:hAnsi="Arial"/>
          <w:b/>
          <w:bCs/>
          <w:color w:val="2B4570"/>
          <w:sz w:val="24"/>
          <w:szCs w:val="24"/>
        </w:rPr>
        <w:t xml:space="preserve">6.4 Timeout Behavior</w:t>
      </w:r>
    </w:p>
    <w:p>
      <w:pPr>
        <w:spacing w:after="130" w:line="300"/>
        <w:jc w:val="left"/>
      </w:pPr>
      <w:r>
        <w:rPr>
          <w:rFonts w:ascii="Arial" w:cs="Arial" w:eastAsia="Arial" w:hAnsi="Arial"/>
          <w:sz w:val="21"/>
          <w:szCs w:val="21"/>
        </w:rPr>
        <w:t xml:space="preserve">200ms no valid command: gate emits zero velocity. 1000ms no valid command: gate enters SAFE_STOP, alerts CARA. 5 consecutive invalid packets (bad seq or CRC): ESP32 disables motors.</w:t>
      </w:r>
    </w:p>
    <w:p>
      <w:r>
        <w:br w:type="page"/>
      </w:r>
    </w:p>
    <w:p>
      <w:pPr>
        <w:pStyle w:val="Heading1"/>
        <w:spacing w:before="400" w:after="200"/>
      </w:pPr>
      <w:r>
        <w:rPr>
          <w:rFonts w:ascii="Arial" w:cs="Arial" w:eastAsia="Arial" w:hAnsi="Arial"/>
          <w:b/>
          <w:bCs/>
          <w:color w:val="1A2744"/>
          <w:sz w:val="30"/>
          <w:szCs w:val="30"/>
        </w:rPr>
        <w:t xml:space="preserve">7. CARA Recovery Specification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Mode</w:t>
            </w:r>
          </w:p>
        </w:tc>
        <w:tc>
          <w:tcPr>
            <w:tcW w:type="dxa" w:w="67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Behavior</w:t>
            </w:r>
          </w:p>
        </w:tc>
      </w:tr>
      <w:tr>
        <w:tc>
          <w:tcPr>
            <w:tcW w:type="dxa" w:w="2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SAFE_STOP</w:t>
            </w:r>
          </w:p>
        </w:tc>
        <w:tc>
          <w:tcPr>
            <w:tcW w:type="dxa" w:w="67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Immediate controlled deceleration to zero velocity</w:t>
            </w:r>
          </w:p>
        </w:tc>
      </w:tr>
      <w:tr>
        <w:tc>
          <w:tcPr>
            <w:tcW w:type="dxa" w:w="2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CRAWL_MODE</w:t>
            </w:r>
          </w:p>
        </w:tc>
        <w:tc>
          <w:tcPr>
            <w:tcW w:type="dxa" w:w="67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20% speed, forward-only, basic obstacle halt</w:t>
            </w:r>
          </w:p>
        </w:tc>
      </w:tr>
      <w:tr>
        <w:tc>
          <w:tcPr>
            <w:tcW w:type="dxa" w:w="2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RETURN_SAFE_ZONE</w:t>
            </w:r>
          </w:p>
        </w:tc>
        <w:tc>
          <w:tcPr>
            <w:tcW w:type="dxa" w:w="67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Navigate to predefined safe waypoint using remaining sensors</w:t>
            </w:r>
          </w:p>
        </w:tc>
      </w:tr>
      <w:tr>
        <w:tc>
          <w:tcPr>
            <w:tcW w:type="dxa" w:w="2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DEGRADED_TELEOP</w:t>
            </w:r>
          </w:p>
        </w:tc>
        <w:tc>
          <w:tcPr>
            <w:tcW w:type="dxa" w:w="67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Hand control to human operator at ground station</w:t>
            </w:r>
          </w:p>
        </w:tc>
      </w:tr>
      <w:tr>
        <w:tc>
          <w:tcPr>
            <w:tcW w:type="dxa" w:w="2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AUTHORITY_RESET</w:t>
            </w:r>
          </w:p>
        </w:tc>
        <w:tc>
          <w:tcPr>
            <w:tcW w:type="dxa" w:w="67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Stepwise recovery A0→A1→A2→A3 with dwell verification at each stage</w:t>
            </w:r>
          </w:p>
        </w:tc>
      </w:tr>
    </w:tbl>
    <w:p>
      <w:pPr>
        <w:spacing w:after="130" w:line="300"/>
        <w:jc w:val="left"/>
      </w:pPr>
      <w:r>
        <w:rPr>
          <w:rFonts w:ascii="Arial" w:cs="Arial" w:eastAsia="Arial" w:hAnsi="Arial"/>
          <w:sz w:val="21"/>
          <w:szCs w:val="21"/>
        </w:rPr>
        <w:t xml:space="preserve">CARA activates when authority drops to A0, communications lost &gt;60s, watchdog alerts, or E-stop pressed. CARA can override anything the planner proposed.</w:t>
      </w:r>
    </w:p>
    <w:p>
      <w:r>
        <w:br w:type="page"/>
      </w:r>
    </w:p>
    <w:p>
      <w:pPr>
        <w:pStyle w:val="Heading1"/>
        <w:spacing w:before="400" w:after="200"/>
      </w:pPr>
      <w:r>
        <w:rPr>
          <w:rFonts w:ascii="Arial" w:cs="Arial" w:eastAsia="Arial" w:hAnsi="Arial"/>
          <w:b/>
          <w:bCs/>
          <w:color w:val="1A2744"/>
          <w:sz w:val="30"/>
          <w:szCs w:val="30"/>
        </w:rPr>
        <w:t xml:space="preserve">8. Watchdog and Safety Specification</w:t>
      </w:r>
    </w:p>
    <w:p>
      <w:pPr>
        <w:pStyle w:val="Heading2"/>
        <w:spacing w:before="300" w:after="160"/>
      </w:pPr>
      <w:r>
        <w:rPr>
          <w:rFonts w:ascii="Arial" w:cs="Arial" w:eastAsia="Arial" w:hAnsi="Arial"/>
          <w:b/>
          <w:bCs/>
          <w:color w:val="2B4570"/>
          <w:sz w:val="24"/>
          <w:szCs w:val="24"/>
        </w:rPr>
        <w:t xml:space="preserve">8.1 Watchdog Chain</w:t>
      </w:r>
    </w:p>
    <w:p>
      <w:pPr>
        <w:spacing w:after="130" w:line="300"/>
        <w:jc w:val="left"/>
      </w:pPr>
      <w:r>
        <w:rPr>
          <w:rFonts w:ascii="Arial" w:cs="Arial" w:eastAsia="Arial" w:hAnsi="Arial"/>
          <w:sz w:val="21"/>
          <w:szCs w:val="21"/>
        </w:rPr>
        <w:t xml:space="preserve">RPi 5 sends command packets to ESP32. ESP32 feeds watchdog only while receiving valid packets. If RPi 5 crashes: no packets → ESP32 stops feeding watchdog → watchdog trips (1500ms timeout) → pulls motor driver ENABLE pin LOW → motors physically disabled. This is hardware-level and cannot be overridden by software.</w:t>
      </w:r>
    </w:p>
    <w:p>
      <w:pPr>
        <w:pStyle w:val="Heading2"/>
        <w:spacing w:before="300" w:after="160"/>
      </w:pPr>
      <w:r>
        <w:rPr>
          <w:rFonts w:ascii="Arial" w:cs="Arial" w:eastAsia="Arial" w:hAnsi="Arial"/>
          <w:b/>
          <w:bCs/>
          <w:color w:val="2B4570"/>
          <w:sz w:val="24"/>
          <w:szCs w:val="24"/>
        </w:rPr>
        <w:t xml:space="preserve">8.2 Watchdog Trip Response</w:t>
      </w:r>
    </w:p>
    <w:p>
      <w:pPr>
        <w:spacing w:after="130" w:line="300"/>
        <w:jc w:val="left"/>
      </w:pPr>
      <w:r>
        <w:rPr>
          <w:rFonts w:ascii="Arial" w:cs="Arial" w:eastAsia="Arial" w:hAnsi="Arial"/>
          <w:sz w:val="21"/>
          <w:szCs w:val="21"/>
        </w:rPr>
        <w:t xml:space="preserve">Motors disabled via hardware ENABLE pin. ESP32 records trip event to local flash before disabling. System requires manual power cycle or ground station reset. Trip timeout: 1500ms (3× command gate 500ms timeout).</w:t>
      </w:r>
    </w:p>
    <w:p>
      <w:pPr>
        <w:pStyle w:val="Heading2"/>
        <w:spacing w:before="300" w:after="160"/>
      </w:pPr>
      <w:r>
        <w:rPr>
          <w:rFonts w:ascii="Arial" w:cs="Arial" w:eastAsia="Arial" w:hAnsi="Arial"/>
          <w:b/>
          <w:bCs/>
          <w:color w:val="2B4570"/>
          <w:sz w:val="24"/>
          <w:szCs w:val="24"/>
        </w:rPr>
        <w:t xml:space="preserve">8.3 Emergency Stop</w:t>
      </w:r>
    </w:p>
    <w:p>
      <w:pPr>
        <w:spacing w:after="130" w:line="300"/>
        <w:jc w:val="left"/>
      </w:pPr>
      <w:r>
        <w:rPr>
          <w:rFonts w:ascii="Arial" w:cs="Arial" w:eastAsia="Arial" w:hAnsi="Arial"/>
          <w:sz w:val="21"/>
          <w:szCs w:val="21"/>
        </w:rPr>
        <w:t xml:space="preserve">Physical button wired in series between battery and motor power regulator. Pressing interrupts all motor power at hardware level. UBEC (system power) remains active so the brain logs the event.</w:t>
      </w:r>
    </w:p>
    <w:p>
      <w:pPr>
        <w:pStyle w:val="Heading2"/>
        <w:spacing w:before="300" w:after="160"/>
      </w:pPr>
      <w:r>
        <w:rPr>
          <w:rFonts w:ascii="Arial" w:cs="Arial" w:eastAsia="Arial" w:hAnsi="Arial"/>
          <w:b/>
          <w:bCs/>
          <w:color w:val="2B4570"/>
          <w:sz w:val="24"/>
          <w:szCs w:val="24"/>
        </w:rPr>
        <w:t xml:space="preserve">8.4 Secure Element (ATECC608B)</w:t>
      </w:r>
    </w:p>
    <w:p>
      <w:pPr>
        <w:spacing w:after="130" w:line="300"/>
        <w:jc w:val="left"/>
      </w:pPr>
      <w:r>
        <w:rPr>
          <w:rFonts w:ascii="Arial" w:cs="Arial" w:eastAsia="Arial" w:hAnsi="Arial"/>
          <w:sz w:val="21"/>
          <w:szCs w:val="21"/>
        </w:rPr>
        <w:t xml:space="preserve">Connected to RPi 5 via I2C. Stores signed authority policies (HMAA thresholds, dwell times). Provides signed boot verification. Signs recovery events with monotonic counter for tamper-evident logs. Prevents SD card modification from bypassing HMAA.</w:t>
      </w:r>
    </w:p>
    <w:p>
      <w:r>
        <w:br w:type="page"/>
      </w:r>
    </w:p>
    <w:p>
      <w:pPr>
        <w:pBdr>
          <w:bottom w:val="single" w:color="1A2744" w:sz="4" w:space="8"/>
        </w:pBdr>
        <w:spacing w:before="600" w:after="300"/>
        <w:jc w:val="center"/>
      </w:pPr>
      <w:r>
        <w:rPr>
          <w:rFonts w:ascii="Arial" w:cs="Arial" w:eastAsia="Arial" w:hAnsi="Arial"/>
          <w:b/>
          <w:bCs/>
          <w:color w:val="1A2744"/>
          <w:sz w:val="28"/>
          <w:szCs w:val="28"/>
        </w:rPr>
        <w:t xml:space="preserve">PART IV: SOFTWARE ARCHITECTURE</w:t>
      </w:r>
    </w:p>
    <w:p>
      <w:r>
        <w:br w:type="page"/>
      </w:r>
    </w:p>
    <w:p>
      <w:pPr>
        <w:pStyle w:val="Heading1"/>
        <w:spacing w:before="400" w:after="200"/>
      </w:pPr>
      <w:r>
        <w:rPr>
          <w:rFonts w:ascii="Arial" w:cs="Arial" w:eastAsia="Arial" w:hAnsi="Arial"/>
          <w:b/>
          <w:bCs/>
          <w:color w:val="1A2744"/>
          <w:sz w:val="30"/>
          <w:szCs w:val="30"/>
        </w:rPr>
        <w:t xml:space="preserve">9. ROS 2 Node Graph</w:t>
      </w:r>
    </w:p>
    <w:p>
      <w:pPr>
        <w:pStyle w:val="Heading2"/>
        <w:spacing w:before="300" w:after="160"/>
      </w:pPr>
      <w:r>
        <w:rPr>
          <w:rFonts w:ascii="Arial" w:cs="Arial" w:eastAsia="Arial" w:hAnsi="Arial"/>
          <w:b/>
          <w:bCs/>
          <w:color w:val="2B4570"/>
          <w:sz w:val="24"/>
          <w:szCs w:val="24"/>
        </w:rPr>
        <w:t xml:space="preserve">9.1 Sensor Drivers (RPi 5)</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4200"/>
        <w:gridCol w:w="2360"/>
      </w:tblGrid>
      <w:tr>
        <w:tc>
          <w:tcPr>
            <w:tcW w:type="dxa" w:w="28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Node</w:t>
            </w:r>
          </w:p>
        </w:tc>
        <w:tc>
          <w:tcPr>
            <w:tcW w:type="dxa" w:w="42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Publishes</w:t>
            </w:r>
          </w:p>
        </w:tc>
        <w:tc>
          <w:tcPr>
            <w:tcW w:type="dxa" w:w="23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Rate</w:t>
            </w:r>
          </w:p>
        </w:tc>
      </w:tr>
      <w:tr>
        <w:tc>
          <w:tcPr>
            <w:tcW w:type="dxa" w:w="2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camera_driver_node</w:t>
            </w:r>
          </w:p>
        </w:tc>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/camera/image_raw</w:t>
            </w:r>
          </w:p>
        </w:tc>
        <w:tc>
          <w:tcPr>
            <w:tcW w:type="dxa" w:w="23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30 Hz</w:t>
            </w:r>
          </w:p>
        </w:tc>
      </w:tr>
      <w:tr>
        <w:tc>
          <w:tcPr>
            <w:tcW w:type="dxa" w:w="2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lidar_driver_node</w:t>
            </w:r>
          </w:p>
        </w:tc>
        <w:tc>
          <w:tcPr>
            <w:tcW w:type="dxa" w:w="4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/lidar/scan</w:t>
            </w:r>
          </w:p>
        </w:tc>
        <w:tc>
          <w:tcPr>
            <w:tcW w:type="dxa" w:w="23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10 Hz</w:t>
            </w:r>
          </w:p>
        </w:tc>
      </w:tr>
      <w:tr>
        <w:tc>
          <w:tcPr>
            <w:tcW w:type="dxa" w:w="2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tof_driver_node</w:t>
            </w:r>
          </w:p>
        </w:tc>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/tof/range</w:t>
            </w:r>
          </w:p>
        </w:tc>
        <w:tc>
          <w:tcPr>
            <w:tcW w:type="dxa" w:w="23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20 Hz</w:t>
            </w:r>
          </w:p>
        </w:tc>
      </w:tr>
      <w:tr>
        <w:tc>
          <w:tcPr>
            <w:tcW w:type="dxa" w:w="2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imu_driver_node</w:t>
            </w:r>
          </w:p>
        </w:tc>
        <w:tc>
          <w:tcPr>
            <w:tcW w:type="dxa" w:w="4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/imu/data</w:t>
            </w:r>
          </w:p>
        </w:tc>
        <w:tc>
          <w:tcPr>
            <w:tcW w:type="dxa" w:w="23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200 Hz</w:t>
            </w:r>
          </w:p>
        </w:tc>
      </w:tr>
      <w:tr>
        <w:tc>
          <w:tcPr>
            <w:tcW w:type="dxa" w:w="2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encoder_bridge_node</w:t>
            </w:r>
          </w:p>
        </w:tc>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/wheel/odometry_raw</w:t>
            </w:r>
          </w:p>
        </w:tc>
        <w:tc>
          <w:tcPr>
            <w:tcW w:type="dxa" w:w="23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50 Hz</w:t>
            </w:r>
          </w:p>
        </w:tc>
      </w:tr>
      <w:tr>
        <w:tc>
          <w:tcPr>
            <w:tcW w:type="dxa" w:w="2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rf_health_node</w:t>
            </w:r>
          </w:p>
        </w:tc>
        <w:tc>
          <w:tcPr>
            <w:tcW w:type="dxa" w:w="4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/rf/heartbeat_status</w:t>
            </w:r>
          </w:p>
        </w:tc>
        <w:tc>
          <w:tcPr>
            <w:tcW w:type="dxa" w:w="23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2 Hz</w:t>
            </w:r>
          </w:p>
        </w:tc>
      </w:tr>
    </w:tbl>
    <w:p>
      <w:pPr>
        <w:pStyle w:val="Heading2"/>
        <w:spacing w:before="300" w:after="160"/>
      </w:pPr>
      <w:r>
        <w:rPr>
          <w:rFonts w:ascii="Arial" w:cs="Arial" w:eastAsia="Arial" w:hAnsi="Arial"/>
          <w:b/>
          <w:bCs/>
          <w:color w:val="2B4570"/>
          <w:sz w:val="24"/>
          <w:szCs w:val="24"/>
        </w:rPr>
        <w:t xml:space="preserve">9.2 Processing Nodes (RPi 5)</w:t>
      </w:r>
    </w:p>
    <w:p>
      <w:pPr>
        <w:spacing w:before="240" w:after="120"/>
      </w:pPr>
      <w:r>
        <w:rPr>
          <w:rFonts w:ascii="Arial" w:cs="Arial" w:eastAsia="Arial" w:hAnsi="Arial"/>
          <w:b/>
          <w:bCs/>
          <w:color w:val="333333"/>
          <w:sz w:val="22"/>
          <w:szCs w:val="22"/>
        </w:rPr>
        <w:t xml:space="preserve">sensor_fusion_node</w:t>
      </w:r>
    </w:p>
    <w:p>
      <w:pPr>
        <w:spacing w:after="130" w:line="300"/>
        <w:jc w:val="left"/>
      </w:pPr>
      <w:r>
        <w:rPr>
          <w:rFonts w:ascii="Arial" w:cs="Arial" w:eastAsia="Arial" w:hAnsi="Arial"/>
          <w:sz w:val="21"/>
          <w:szCs w:val="21"/>
        </w:rPr>
        <w:t xml:space="preserve">Subscribes: /camera/image_raw, /lidar/scan, /tof/range, /imu/data, /wheel/odometry_raw, /rf/heartbeat_status. Publishes: /state_estimate (20 Hz), /sensor_health_metrics (10 Hz), /localization_confidence (20 Hz). Performs IMU–odometry cross-checks, LiDAR–ToF agreement, optical flow vs motion prediction, RF heartbeat validity.</w:t>
      </w:r>
    </w:p>
    <w:p>
      <w:pPr>
        <w:spacing w:before="240" w:after="120"/>
      </w:pPr>
      <w:r>
        <w:rPr>
          <w:rFonts w:ascii="Arial" w:cs="Arial" w:eastAsia="Arial" w:hAnsi="Arial"/>
          <w:b/>
          <w:bCs/>
          <w:color w:val="333333"/>
          <w:sz w:val="22"/>
          <w:szCs w:val="22"/>
        </w:rPr>
        <w:t xml:space="preserve">sata_trust_node</w:t>
      </w:r>
    </w:p>
    <w:p>
      <w:pPr>
        <w:spacing w:after="130" w:line="300"/>
        <w:jc w:val="left"/>
      </w:pPr>
      <w:r>
        <w:rPr>
          <w:rFonts w:ascii="Arial" w:cs="Arial" w:eastAsia="Arial" w:hAnsi="Arial"/>
          <w:sz w:val="21"/>
          <w:szCs w:val="21"/>
        </w:rPr>
        <w:t xml:space="preserve">Subscribes: /sensor_health_metrics, /state_estimate, /localization_confidence, /rf/heartbeat_status. Publishes: /trust/camera, /trust/lidar, /trust/tof, /trust/imu, /trust/odometry, /trust/comms, /trust/fused, /trust/anomaly_flags (all 10 Hz).</w:t>
      </w:r>
    </w:p>
    <w:p>
      <w:pPr>
        <w:spacing w:before="240" w:after="120"/>
      </w:pPr>
      <w:r>
        <w:rPr>
          <w:rFonts w:ascii="Arial" w:cs="Arial" w:eastAsia="Arial" w:hAnsi="Arial"/>
          <w:b/>
          <w:bCs/>
          <w:color w:val="333333"/>
          <w:sz w:val="22"/>
          <w:szCs w:val="22"/>
        </w:rPr>
        <w:t xml:space="preserve">mission_planner_node</w:t>
      </w:r>
    </w:p>
    <w:p>
      <w:pPr>
        <w:spacing w:after="130" w:line="300"/>
        <w:jc w:val="left"/>
      </w:pPr>
      <w:r>
        <w:rPr>
          <w:rFonts w:ascii="Arial" w:cs="Arial" w:eastAsia="Arial" w:hAnsi="Arial"/>
          <w:sz w:val="21"/>
          <w:szCs w:val="21"/>
        </w:rPr>
        <w:t xml:space="preserve">Subscribes: /state_estimate, /mission_goal, /trust/anomaly_flags. Publishes: /planner/proposed_cmd, /planner/path (20 Hz). Proposal only — no authority to execute.</w:t>
      </w:r>
    </w:p>
    <w:p>
      <w:pPr>
        <w:spacing w:before="240" w:after="120"/>
      </w:pPr>
      <w:r>
        <w:rPr>
          <w:rFonts w:ascii="Arial" w:cs="Arial" w:eastAsia="Arial" w:hAnsi="Arial"/>
          <w:b/>
          <w:bCs/>
          <w:color w:val="333333"/>
          <w:sz w:val="22"/>
          <w:szCs w:val="22"/>
        </w:rPr>
        <w:t xml:space="preserve">hmaa_authority_node</w:t>
      </w:r>
    </w:p>
    <w:p>
      <w:pPr>
        <w:spacing w:after="130" w:line="300"/>
        <w:jc w:val="left"/>
      </w:pPr>
      <w:r>
        <w:rPr>
          <w:rFonts w:ascii="Arial" w:cs="Arial" w:eastAsia="Arial" w:hAnsi="Arial"/>
          <w:sz w:val="21"/>
          <w:szCs w:val="21"/>
        </w:rPr>
        <w:t xml:space="preserve">Subscribes: /planner/proposed_cmd, /trust/fused, /trust/anomaly_flags. Publishes: /authority/level, /authority/envelope, /authority/events (on change + 1 Hz heartbeat). Envelope: max_velocity, max_turn_rate, allowed_modes, authority_level.</w:t>
      </w:r>
    </w:p>
    <w:p>
      <w:pPr>
        <w:spacing w:before="240" w:after="120"/>
      </w:pPr>
      <w:r>
        <w:rPr>
          <w:rFonts w:ascii="Arial" w:cs="Arial" w:eastAsia="Arial" w:hAnsi="Arial"/>
          <w:b/>
          <w:bCs/>
          <w:color w:val="333333"/>
          <w:sz w:val="22"/>
          <w:szCs w:val="22"/>
        </w:rPr>
        <w:t xml:space="preserve">cara_recovery_node</w:t>
      </w:r>
    </w:p>
    <w:p>
      <w:pPr>
        <w:spacing w:after="130" w:line="300"/>
        <w:jc w:val="left"/>
      </w:pPr>
      <w:r>
        <w:rPr>
          <w:rFonts w:ascii="Arial" w:cs="Arial" w:eastAsia="Arial" w:hAnsi="Arial"/>
          <w:sz w:val="21"/>
          <w:szCs w:val="21"/>
        </w:rPr>
        <w:t xml:space="preserve">Subscribes: /authority/level, /trust/anomaly_flags, /mcu/watchdog_state, /rf/heartbeat_status. Publishes: /cara/mode, /cara/override_cmd, /cara/events (on event).</w:t>
      </w:r>
    </w:p>
    <w:p>
      <w:pPr>
        <w:spacing w:before="240" w:after="120"/>
      </w:pPr>
      <w:r>
        <w:rPr>
          <w:rFonts w:ascii="Arial" w:cs="Arial" w:eastAsia="Arial" w:hAnsi="Arial"/>
          <w:b/>
          <w:bCs/>
          <w:color w:val="333333"/>
          <w:sz w:val="22"/>
          <w:szCs w:val="22"/>
        </w:rPr>
        <w:t xml:space="preserve">command_gate_node</w:t>
      </w:r>
    </w:p>
    <w:p>
      <w:pPr>
        <w:spacing w:after="130" w:line="300"/>
        <w:jc w:val="left"/>
      </w:pPr>
      <w:r>
        <w:rPr>
          <w:rFonts w:ascii="Arial" w:cs="Arial" w:eastAsia="Arial" w:hAnsi="Arial"/>
          <w:sz w:val="21"/>
          <w:szCs w:val="21"/>
        </w:rPr>
        <w:t xml:space="preserve">Subscribes: /planner/proposed_cmd, /authority/envelope, /cara/override_cmd. Publishes: /cmd/final_approved, /cmd/rejections (20 Hz). Priority: E-STOP &gt; CARA &gt; HMAA &gt; Planner. Clamps, does not reject.</w:t>
      </w:r>
    </w:p>
    <w:p>
      <w:pPr>
        <w:spacing w:before="240" w:after="120"/>
      </w:pPr>
      <w:r>
        <w:rPr>
          <w:rFonts w:ascii="Arial" w:cs="Arial" w:eastAsia="Arial" w:hAnsi="Arial"/>
          <w:b/>
          <w:bCs/>
          <w:color w:val="333333"/>
          <w:sz w:val="22"/>
          <w:szCs w:val="22"/>
        </w:rPr>
        <w:t xml:space="preserve">fault_injection_node</w:t>
      </w:r>
    </w:p>
    <w:p>
      <w:pPr>
        <w:spacing w:after="130" w:line="300"/>
        <w:jc w:val="left"/>
      </w:pPr>
      <w:r>
        <w:rPr>
          <w:rFonts w:ascii="Arial" w:cs="Arial" w:eastAsia="Arial" w:hAnsi="Arial"/>
          <w:sz w:val="21"/>
          <w:szCs w:val="21"/>
        </w:rPr>
        <w:t xml:space="preserve">Subscribes: /fault_controller/inject. Modifies: /camera/image_raw, /lidar/scan, /imu/data, /tof/range, /rf/heartbeat_status. Publishes: /fault/events. All injections timestamped and logged.</w:t>
      </w:r>
    </w:p>
    <w:p>
      <w:pPr>
        <w:spacing w:before="240" w:after="120"/>
      </w:pPr>
      <w:r>
        <w:rPr>
          <w:rFonts w:ascii="Arial" w:cs="Arial" w:eastAsia="Arial" w:hAnsi="Arial"/>
          <w:b/>
          <w:bCs/>
          <w:color w:val="333333"/>
          <w:sz w:val="22"/>
          <w:szCs w:val="22"/>
        </w:rPr>
        <w:t xml:space="preserve">logger_node</w:t>
      </w:r>
    </w:p>
    <w:p>
      <w:pPr>
        <w:spacing w:after="130" w:line="300"/>
        <w:jc w:val="left"/>
      </w:pPr>
      <w:r>
        <w:rPr>
          <w:rFonts w:ascii="Arial" w:cs="Arial" w:eastAsia="Arial" w:hAnsi="Arial"/>
          <w:sz w:val="21"/>
          <w:szCs w:val="21"/>
        </w:rPr>
        <w:t xml:space="preserve">Subscribes: /trust/*, /authority/*, /cara/*, /cmd/*, /mcu/*, /fault/*. Outputs: ROS 2 bag files + SQLite. Trust at 10 Hz, authority on change + 1 Hz, recovery on event, commands at 20 Hz, faults on event, watchdog 1 Hz + trips, mission 1 Hz.</w:t>
      </w:r>
    </w:p>
    <w:p>
      <w:pPr>
        <w:pStyle w:val="Heading2"/>
        <w:spacing w:before="300" w:after="160"/>
      </w:pPr>
      <w:r>
        <w:rPr>
          <w:rFonts w:ascii="Arial" w:cs="Arial" w:eastAsia="Arial" w:hAnsi="Arial"/>
          <w:b/>
          <w:bCs/>
          <w:color w:val="2B4570"/>
          <w:sz w:val="24"/>
          <w:szCs w:val="24"/>
        </w:rPr>
        <w:t xml:space="preserve">9.3 ESP32 Firmware</w:t>
      </w:r>
    </w:p>
    <w:p>
      <w:pPr>
        <w:spacing w:after="130" w:line="300"/>
        <w:jc w:val="left"/>
      </w:pPr>
      <w:r>
        <w:rPr>
          <w:rFonts w:ascii="Arial" w:cs="Arial" w:eastAsia="Arial" w:hAnsi="Arial"/>
          <w:sz w:val="21"/>
          <w:szCs w:val="21"/>
        </w:rPr>
        <w:t xml:space="preserve">Receives /cmd/final_approved over UART. Validates each packet (seq_id, CRC16). Drives motors via PWM. Feeds watchdog only when receiving valid packets. Monitors E-stop via hardware interrupt. Reports /mcu/status, /mcu/watchdog_state, /mcu/estop_state, /wheel/odometry_raw.</w:t>
      </w:r>
    </w:p>
    <w:p>
      <w:pPr>
        <w:spacing w:after="130" w:line="300"/>
        <w:jc w:val="left"/>
      </w:pPr>
      <w:r>
        <w:rPr>
          <w:rFonts w:ascii="Arial" w:cs="Arial" w:eastAsia="Arial" w:hAnsi="Arial"/>
          <w:sz w:val="21"/>
          <w:szCs w:val="21"/>
        </w:rPr>
        <w:t xml:space="preserve">Safety rules: 200ms no command → decelerate. 1000ms → disable motors. Watchdog trip → hardware disable. E-stop → immediate shutdown. Before any shutdown, writes event to local flash.</w:t>
      </w:r>
    </w:p>
    <w:p>
      <w:r>
        <w:br w:type="page"/>
      </w:r>
    </w:p>
    <w:p>
      <w:pPr>
        <w:pBdr>
          <w:bottom w:val="single" w:color="1A2744" w:sz="4" w:space="8"/>
        </w:pBdr>
        <w:spacing w:before="600" w:after="300"/>
        <w:jc w:val="center"/>
      </w:pPr>
      <w:r>
        <w:rPr>
          <w:rFonts w:ascii="Arial" w:cs="Arial" w:eastAsia="Arial" w:hAnsi="Arial"/>
          <w:b/>
          <w:bCs/>
          <w:color w:val="1A2744"/>
          <w:sz w:val="28"/>
          <w:szCs w:val="28"/>
        </w:rPr>
        <w:t xml:space="preserve">PART V: HARDWARE SPECIFICATION</w:t>
      </w:r>
    </w:p>
    <w:p>
      <w:r>
        <w:br w:type="page"/>
      </w:r>
    </w:p>
    <w:p>
      <w:pPr>
        <w:pStyle w:val="Heading1"/>
        <w:spacing w:before="400" w:after="200"/>
      </w:pPr>
      <w:r>
        <w:rPr>
          <w:rFonts w:ascii="Arial" w:cs="Arial" w:eastAsia="Arial" w:hAnsi="Arial"/>
          <w:b/>
          <w:bCs/>
          <w:color w:val="1A2744"/>
          <w:sz w:val="30"/>
          <w:szCs w:val="30"/>
        </w:rPr>
        <w:t xml:space="preserve">10. Hardware Bill of Materials</w:t>
      </w:r>
    </w:p>
    <w:p>
      <w:pPr>
        <w:spacing w:after="130" w:line="300"/>
        <w:jc w:val="left"/>
      </w:pPr>
      <w:r>
        <w:rPr>
          <w:rFonts w:ascii="Arial" w:cs="Arial" w:eastAsia="Arial" w:hAnsi="Arial"/>
          <w:sz w:val="21"/>
          <w:szCs w:val="21"/>
        </w:rPr>
        <w:t xml:space="preserve">37 items. Zero duplicates. All connections verified (21/21 checks passed). Frozen baseline.</w:t>
      </w:r>
    </w:p>
    <w:p>
      <w:pPr>
        <w:pStyle w:val="Heading2"/>
        <w:spacing w:before="300" w:after="160"/>
      </w:pPr>
      <w:r>
        <w:rPr>
          <w:rFonts w:ascii="Arial" w:cs="Arial" w:eastAsia="Arial" w:hAnsi="Arial"/>
          <w:b/>
          <w:bCs/>
          <w:color w:val="2B4570"/>
          <w:sz w:val="24"/>
          <w:szCs w:val="24"/>
        </w:rPr>
        <w:t xml:space="preserve">10.1 Compute and Control (3 items)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800"/>
        <w:gridCol w:w="800"/>
        <w:gridCol w:w="1560"/>
      </w:tblGrid>
      <w:tr>
        <w:tc>
          <w:tcPr>
            <w:tcW w:type="dxa" w:w="32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Component</w:t>
            </w:r>
          </w:p>
        </w:tc>
        <w:tc>
          <w:tcPr>
            <w:tcW w:type="dxa" w:w="38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Product</w:t>
            </w:r>
          </w:p>
        </w:tc>
        <w:tc>
          <w:tcPr>
            <w:tcW w:type="dxa" w:w="8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Qty</w:t>
            </w:r>
          </w:p>
        </w:tc>
        <w:tc>
          <w:tcPr>
            <w:tcW w:type="dxa" w:w="15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Cost</w:t>
            </w:r>
          </w:p>
        </w:tc>
      </w:tr>
      <w:tr>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Robot Main Compute (RPi 5)</w:t>
            </w:r>
          </w:p>
        </w:tc>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Raspberry Pi 5 8GB</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$80</w:t>
            </w:r>
          </w:p>
        </w:tc>
      </w:tr>
      <w:tr>
        <w:tc>
          <w:tcPr>
            <w:tcW w:type="dxa" w:w="3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Robot MCU (ESP32)</w:t>
            </w:r>
          </w:p>
        </w:tc>
        <w:tc>
          <w:tcPr>
            <w:tcW w:type="dxa" w:w="3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ESP32-DevKitC-32D</w:t>
            </w:r>
          </w:p>
        </w:tc>
        <w:tc>
          <w:tcPr>
            <w:tcW w:type="dxa" w:w="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$8</w:t>
            </w:r>
          </w:p>
        </w:tc>
      </w:tr>
      <w:tr>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Robot Secure Element</w:t>
            </w:r>
          </w:p>
        </w:tc>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ATECC608B TrustFLEX</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$15</w:t>
            </w:r>
          </w:p>
        </w:tc>
      </w:tr>
    </w:tbl>
    <w:p>
      <w:pPr>
        <w:pStyle w:val="Heading2"/>
        <w:spacing w:before="300" w:after="160"/>
      </w:pPr>
      <w:r>
        <w:rPr>
          <w:rFonts w:ascii="Arial" w:cs="Arial" w:eastAsia="Arial" w:hAnsi="Arial"/>
          <w:b/>
          <w:bCs/>
          <w:color w:val="2B4570"/>
          <w:sz w:val="24"/>
          <w:szCs w:val="24"/>
        </w:rPr>
        <w:t xml:space="preserve">10.2 Sensors (6 items)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800"/>
        <w:gridCol w:w="800"/>
        <w:gridCol w:w="1560"/>
      </w:tblGrid>
      <w:tr>
        <w:tc>
          <w:tcPr>
            <w:tcW w:type="dxa" w:w="32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Component</w:t>
            </w:r>
          </w:p>
        </w:tc>
        <w:tc>
          <w:tcPr>
            <w:tcW w:type="dxa" w:w="38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Product</w:t>
            </w:r>
          </w:p>
        </w:tc>
        <w:tc>
          <w:tcPr>
            <w:tcW w:type="dxa" w:w="8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Qty</w:t>
            </w:r>
          </w:p>
        </w:tc>
        <w:tc>
          <w:tcPr>
            <w:tcW w:type="dxa" w:w="15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Cost</w:t>
            </w:r>
          </w:p>
        </w:tc>
      </w:tr>
      <w:tr>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Upgraded Robot IMU</w:t>
            </w:r>
          </w:p>
        </w:tc>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BNO085</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~$20</w:t>
            </w:r>
          </w:p>
        </w:tc>
      </w:tr>
      <w:tr>
        <w:tc>
          <w:tcPr>
            <w:tcW w:type="dxa" w:w="3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Upgraded Robot Camera</w:t>
            </w:r>
          </w:p>
        </w:tc>
        <w:tc>
          <w:tcPr>
            <w:tcW w:type="dxa" w:w="3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RPi Camera v3</w:t>
            </w:r>
          </w:p>
        </w:tc>
        <w:tc>
          <w:tcPr>
            <w:tcW w:type="dxa" w:w="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~$25</w:t>
            </w:r>
          </w:p>
        </w:tc>
      </w:tr>
      <w:tr>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Robot LiDAR Sensor</w:t>
            </w:r>
          </w:p>
        </w:tc>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Slamtec RPLIDAR A1M8</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$99</w:t>
            </w:r>
          </w:p>
        </w:tc>
      </w:tr>
      <w:tr>
        <w:tc>
          <w:tcPr>
            <w:tcW w:type="dxa" w:w="3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Robot ToF Ranging Sensor</w:t>
            </w:r>
          </w:p>
        </w:tc>
        <w:tc>
          <w:tcPr>
            <w:tcW w:type="dxa" w:w="3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Adafruit VL53L1X</w:t>
            </w:r>
          </w:p>
        </w:tc>
        <w:tc>
          <w:tcPr>
            <w:tcW w:type="dxa" w:w="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$13</w:t>
            </w:r>
          </w:p>
        </w:tc>
      </w:tr>
      <w:tr>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Robot Wheel Encoder</w:t>
            </w:r>
          </w:p>
        </w:tc>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64 CPR Magnetic Encoder</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2</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~$15</w:t>
            </w:r>
          </w:p>
        </w:tc>
      </w:tr>
      <w:tr>
        <w:tc>
          <w:tcPr>
            <w:tcW w:type="dxa" w:w="3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Robot LoRa Radio (900MHz)</w:t>
            </w:r>
          </w:p>
        </w:tc>
        <w:tc>
          <w:tcPr>
            <w:tcW w:type="dxa" w:w="3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Adafruit RFM95W</w:t>
            </w:r>
          </w:p>
        </w:tc>
        <w:tc>
          <w:tcPr>
            <w:tcW w:type="dxa" w:w="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~$20</w:t>
            </w:r>
          </w:p>
        </w:tc>
      </w:tr>
    </w:tbl>
    <w:p>
      <w:pPr>
        <w:pStyle w:val="Heading2"/>
        <w:spacing w:before="300" w:after="160"/>
      </w:pPr>
      <w:r>
        <w:rPr>
          <w:rFonts w:ascii="Arial" w:cs="Arial" w:eastAsia="Arial" w:hAnsi="Arial"/>
          <w:b/>
          <w:bCs/>
          <w:color w:val="2B4570"/>
          <w:sz w:val="24"/>
          <w:szCs w:val="24"/>
        </w:rPr>
        <w:t xml:space="preserve">10.3 Safety (2), Storage (1), Actuation/Power (5), Infrastructure (2)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3200"/>
        <w:gridCol w:w="800"/>
        <w:gridCol w:w="1560"/>
      </w:tblGrid>
      <w:tr>
        <w:tc>
          <w:tcPr>
            <w:tcW w:type="dxa" w:w="38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Component</w:t>
            </w:r>
          </w:p>
        </w:tc>
        <w:tc>
          <w:tcPr>
            <w:tcW w:type="dxa" w:w="32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Product</w:t>
            </w:r>
          </w:p>
        </w:tc>
        <w:tc>
          <w:tcPr>
            <w:tcW w:type="dxa" w:w="8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Qty</w:t>
            </w:r>
          </w:p>
        </w:tc>
        <w:tc>
          <w:tcPr>
            <w:tcW w:type="dxa" w:w="15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Cost</w:t>
            </w:r>
          </w:p>
        </w:tc>
      </w:tr>
      <w:tr>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Robot Emergency Stop Button</w:t>
            </w:r>
          </w:p>
        </w:tc>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Mushroom Pushbutton</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$6</w:t>
            </w:r>
          </w:p>
        </w:tc>
      </w:tr>
      <w:tr>
        <w:tc>
          <w:tcPr>
            <w:tcW w:type="dxa" w:w="3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Robot Watchdog Timer</w:t>
            </w:r>
          </w:p>
        </w:tc>
        <w:tc>
          <w:tcPr>
            <w:tcW w:type="dxa" w:w="3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SparkFun TPL5110</w:t>
            </w:r>
          </w:p>
        </w:tc>
        <w:tc>
          <w:tcPr>
            <w:tcW w:type="dxa" w:w="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$8</w:t>
            </w:r>
          </w:p>
        </w:tc>
      </w:tr>
      <w:tr>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Robot Logging Storage</w:t>
            </w:r>
          </w:p>
        </w:tc>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MicroSD Breakout</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$9</w:t>
            </w:r>
          </w:p>
        </w:tc>
      </w:tr>
      <w:tr>
        <w:tc>
          <w:tcPr>
            <w:tcW w:type="dxa" w:w="3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Robot Motor Driver</w:t>
            </w:r>
          </w:p>
        </w:tc>
        <w:tc>
          <w:tcPr>
            <w:tcW w:type="dxa" w:w="3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High Power Driver</w:t>
            </w:r>
          </w:p>
        </w:tc>
        <w:tc>
          <w:tcPr>
            <w:tcW w:type="dxa" w:w="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~$15</w:t>
            </w:r>
          </w:p>
        </w:tc>
      </w:tr>
      <w:tr>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Robot Left/Right Motors</w:t>
            </w:r>
          </w:p>
        </w:tc>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25D Gearmotor 37:1 w/ encoder</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2</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~$50</w:t>
            </w:r>
          </w:p>
        </w:tc>
      </w:tr>
      <w:tr>
        <w:tc>
          <w:tcPr>
            <w:tcW w:type="dxa" w:w="3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Robot LiPo Battery</w:t>
            </w:r>
          </w:p>
        </w:tc>
        <w:tc>
          <w:tcPr>
            <w:tcW w:type="dxa" w:w="3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3S 11.1V 5000mAh</w:t>
            </w:r>
          </w:p>
        </w:tc>
        <w:tc>
          <w:tcPr>
            <w:tcW w:type="dxa" w:w="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~$35</w:t>
            </w:r>
          </w:p>
        </w:tc>
      </w:tr>
      <w:tr>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Robot 5V UBEC</w:t>
            </w:r>
          </w:p>
        </w:tc>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Castle Creations BEC 10A</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~$25</w:t>
            </w:r>
          </w:p>
        </w:tc>
      </w:tr>
      <w:tr>
        <w:tc>
          <w:tcPr>
            <w:tcW w:type="dxa" w:w="3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Motor Power Regulator</w:t>
            </w:r>
          </w:p>
        </w:tc>
        <w:tc>
          <w:tcPr>
            <w:tcW w:type="dxa" w:w="3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Voltage Regulator</w:t>
            </w:r>
          </w:p>
        </w:tc>
        <w:tc>
          <w:tcPr>
            <w:tcW w:type="dxa" w:w="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~$10</w:t>
            </w:r>
          </w:p>
        </w:tc>
      </w:tr>
      <w:tr>
        <w:tc>
          <w:tcPr>
            <w:tcW w:type="dxa" w:w="3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Central Power Supply</w:t>
            </w:r>
          </w:p>
        </w:tc>
        <w:tc>
          <w:tcPr>
            <w:tcW w:type="dxa" w:w="3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Mean Well LRS-150-12</w:t>
            </w:r>
          </w:p>
        </w:tc>
        <w:tc>
          <w:tcPr>
            <w:tcW w:type="dxa" w:w="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$45</w:t>
            </w:r>
          </w:p>
        </w:tc>
      </w:tr>
      <w:tr>
        <w:tc>
          <w:tcPr>
            <w:tcW w:type="dxa" w:w="3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Central RF Transceiver</w:t>
            </w:r>
          </w:p>
        </w:tc>
        <w:tc>
          <w:tcPr>
            <w:tcW w:type="dxa" w:w="3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Adafruit RFM95W LoRa</w:t>
            </w:r>
          </w:p>
        </w:tc>
        <w:tc>
          <w:tcPr>
            <w:tcW w:type="dxa" w:w="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$40</w:t>
            </w:r>
          </w:p>
        </w:tc>
      </w:tr>
    </w:tbl>
    <w:p>
      <w:pPr>
        <w:spacing w:after="130" w:line="300"/>
        <w:jc w:val="left"/>
      </w:pPr>
      <w:r>
        <w:rPr>
          <w:rFonts w:ascii="Arial" w:cs="Arial" w:eastAsia="Arial" w:hAnsi="Arial"/>
          <w:sz w:val="21"/>
          <w:szCs w:val="21"/>
        </w:rPr>
        <w:t xml:space="preserve">Plus 17 mechanical items (chassis plates, wheels, mounts, standoffs, bolts, nuts). Total estimated cost: $420–$500.</w:t>
      </w:r>
    </w:p>
    <w:p>
      <w:pPr>
        <w:pStyle w:val="Heading2"/>
        <w:spacing w:before="300" w:after="160"/>
      </w:pPr>
      <w:r>
        <w:rPr>
          <w:rFonts w:ascii="Arial" w:cs="Arial" w:eastAsia="Arial" w:hAnsi="Arial"/>
          <w:b/>
          <w:bCs/>
          <w:color w:val="2B4570"/>
          <w:sz w:val="24"/>
          <w:szCs w:val="24"/>
        </w:rPr>
        <w:t xml:space="preserve">10.4 Power Budget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2680"/>
        <w:gridCol w:w="2680"/>
      </w:tblGrid>
      <w:tr>
        <w:tc>
          <w:tcPr>
            <w:tcW w:type="dxa" w:w="40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Component</w:t>
            </w:r>
          </w:p>
        </w:tc>
        <w:tc>
          <w:tcPr>
            <w:tcW w:type="dxa" w:w="268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Typical</w:t>
            </w:r>
          </w:p>
        </w:tc>
        <w:tc>
          <w:tcPr>
            <w:tcW w:type="dxa" w:w="268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Peak</w:t>
            </w:r>
          </w:p>
        </w:tc>
      </w:tr>
      <w:tr>
        <w:tc>
          <w:tcPr>
            <w:tcW w:type="dxa" w:w="4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Raspberry Pi 5</w:t>
            </w:r>
          </w:p>
        </w:tc>
        <w:tc>
          <w:tcPr>
            <w:tcW w:type="dxa" w:w="268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5W</w:t>
            </w:r>
          </w:p>
        </w:tc>
        <w:tc>
          <w:tcPr>
            <w:tcW w:type="dxa" w:w="268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27W</w:t>
            </w:r>
          </w:p>
        </w:tc>
      </w:tr>
      <w:tr>
        <w:tc>
          <w:tcPr>
            <w:tcW w:type="dxa" w:w="4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ESP32 + sensors + radio</w:t>
            </w:r>
          </w:p>
        </w:tc>
        <w:tc>
          <w:tcPr>
            <w:tcW w:type="dxa" w:w="268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4W</w:t>
            </w:r>
          </w:p>
        </w:tc>
        <w:tc>
          <w:tcPr>
            <w:tcW w:type="dxa" w:w="268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7W</w:t>
            </w:r>
          </w:p>
        </w:tc>
      </w:tr>
      <w:tr>
        <w:tc>
          <w:tcPr>
            <w:tcW w:type="dxa" w:w="40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Motors + driver</w:t>
            </w:r>
          </w:p>
        </w:tc>
        <w:tc>
          <w:tcPr>
            <w:tcW w:type="dxa" w:w="268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5W</w:t>
            </w:r>
          </w:p>
        </w:tc>
        <w:tc>
          <w:tcPr>
            <w:tcW w:type="dxa" w:w="268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15W</w:t>
            </w:r>
          </w:p>
        </w:tc>
      </w:tr>
      <w:tr>
        <w:tc>
          <w:tcPr>
            <w:tcW w:type="dxa" w:w="40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TOTAL</w:t>
            </w:r>
          </w:p>
        </w:tc>
        <w:tc>
          <w:tcPr>
            <w:tcW w:type="dxa" w:w="268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~14W typical</w:t>
            </w:r>
          </w:p>
        </w:tc>
        <w:tc>
          <w:tcPr>
            <w:tcW w:type="dxa" w:w="268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~49W peak</w:t>
            </w:r>
          </w:p>
        </w:tc>
      </w:tr>
    </w:tbl>
    <w:p>
      <w:pPr>
        <w:spacing w:after="130" w:line="300"/>
        <w:jc w:val="left"/>
      </w:pPr>
      <w:r>
        <w:rPr>
          <w:rFonts w:ascii="Arial" w:cs="Arial" w:eastAsia="Arial" w:hAnsi="Arial"/>
          <w:sz w:val="21"/>
          <w:szCs w:val="21"/>
        </w:rPr>
        <w:t xml:space="preserve">Battery: 3S 11.1V 5000mAh = 55.5 Wh. At 14W typical: ~4 hours. At 18W moderate: ~3 hours. Adequate for experiment campaigns.</w:t>
      </w:r>
    </w:p>
    <w:p>
      <w:r>
        <w:br w:type="page"/>
      </w:r>
    </w:p>
    <w:p>
      <w:pPr>
        <w:pBdr>
          <w:bottom w:val="single" w:color="1A2744" w:sz="4" w:space="8"/>
        </w:pBdr>
        <w:spacing w:before="600" w:after="300"/>
        <w:jc w:val="center"/>
      </w:pPr>
      <w:r>
        <w:rPr>
          <w:rFonts w:ascii="Arial" w:cs="Arial" w:eastAsia="Arial" w:hAnsi="Arial"/>
          <w:b/>
          <w:bCs/>
          <w:color w:val="1A2744"/>
          <w:sz w:val="28"/>
          <w:szCs w:val="28"/>
        </w:rPr>
        <w:t xml:space="preserve">PART VI: VALIDATION AND ROADMAP</w:t>
      </w:r>
    </w:p>
    <w:p>
      <w:r>
        <w:br w:type="page"/>
      </w:r>
    </w:p>
    <w:p>
      <w:pPr>
        <w:pStyle w:val="Heading1"/>
        <w:spacing w:before="400" w:after="200"/>
      </w:pPr>
      <w:r>
        <w:rPr>
          <w:rFonts w:ascii="Arial" w:cs="Arial" w:eastAsia="Arial" w:hAnsi="Arial"/>
          <w:b/>
          <w:bCs/>
          <w:color w:val="1A2744"/>
          <w:sz w:val="30"/>
          <w:szCs w:val="30"/>
        </w:rPr>
        <w:t xml:space="preserve">11. Experiment Matrix</w:t>
      </w:r>
    </w:p>
    <w:p>
      <w:pPr>
        <w:spacing w:after="130" w:line="300"/>
        <w:jc w:val="left"/>
      </w:pPr>
      <w:r>
        <w:rPr>
          <w:rFonts w:ascii="Arial" w:cs="Arial" w:eastAsia="Arial" w:hAnsi="Arial"/>
          <w:sz w:val="21"/>
          <w:szCs w:val="21"/>
        </w:rPr>
        <w:t xml:space="preserve">Each experiment: minimum 10 trials. Metrics: mean response time, variance, pass/fail for expected authority transition.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
        <w:gridCol w:w="1800"/>
        <w:gridCol w:w="3555"/>
        <w:gridCol w:w="3555"/>
      </w:tblGrid>
      <w:tr>
        <w:tc>
          <w:tcPr>
            <w:tcW w:type="dxa" w:w="45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w:t>
            </w:r>
          </w:p>
        </w:tc>
        <w:tc>
          <w:tcPr>
            <w:tcW w:type="dxa" w:w="18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Experiment</w:t>
            </w:r>
          </w:p>
        </w:tc>
        <w:tc>
          <w:tcPr>
            <w:tcW w:type="dxa" w:w="3555"/>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Fault Injection Method</w:t>
            </w:r>
          </w:p>
        </w:tc>
        <w:tc>
          <w:tcPr>
            <w:tcW w:type="dxa" w:w="3555"/>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Expected Result</w:t>
            </w:r>
          </w:p>
        </w:tc>
      </w:tr>
      <w:tr>
        <w:tc>
          <w:tcPr>
            <w:tcW w:type="dxa" w:w="45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1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Camera Occlusion</w:t>
            </w:r>
          </w:p>
        </w:tc>
        <w:tc>
          <w:tcPr>
            <w:tcW w:type="dxa" w:w="3555"/>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Blur/mask camera image programmatically</w:t>
            </w:r>
          </w:p>
        </w:tc>
        <w:tc>
          <w:tcPr>
            <w:tcW w:type="dxa" w:w="3555"/>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trust_camera drops, A3→A2, speed reduced</w:t>
            </w:r>
          </w:p>
        </w:tc>
      </w:tr>
      <w:tr>
        <w:tc>
          <w:tcPr>
            <w:tcW w:type="dxa" w:w="45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2</w:t>
            </w:r>
          </w:p>
        </w:tc>
        <w:tc>
          <w:tcPr>
            <w:tcW w:type="dxa" w:w="1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LiDAR/ToF Disagree</w:t>
            </w:r>
          </w:p>
        </w:tc>
        <w:tc>
          <w:tcPr>
            <w:tcW w:type="dxa" w:w="3555"/>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Synthetic LiDAR obstacle points injected</w:t>
            </w:r>
          </w:p>
        </w:tc>
        <w:tc>
          <w:tcPr>
            <w:tcW w:type="dxa" w:w="3555"/>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Anomaly flag, HMAA constrains route</w:t>
            </w:r>
          </w:p>
        </w:tc>
      </w:tr>
      <w:tr>
        <w:tc>
          <w:tcPr>
            <w:tcW w:type="dxa" w:w="45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3</w:t>
            </w:r>
          </w:p>
        </w:tc>
        <w:tc>
          <w:tcPr>
            <w:tcW w:type="dxa" w:w="1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RF Heartbeat Loss</w:t>
            </w:r>
          </w:p>
        </w:tc>
        <w:tc>
          <w:tcPr>
            <w:tcW w:type="dxa" w:w="3555"/>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Suppress/delay heartbeat messages</w:t>
            </w:r>
          </w:p>
        </w:tc>
        <w:tc>
          <w:tcPr>
            <w:tcW w:type="dxa" w:w="3555"/>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trust_comms drops, bounded autonomy</w:t>
            </w:r>
          </w:p>
        </w:tc>
      </w:tr>
      <w:tr>
        <w:tc>
          <w:tcPr>
            <w:tcW w:type="dxa" w:w="45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4</w:t>
            </w:r>
          </w:p>
        </w:tc>
        <w:tc>
          <w:tcPr>
            <w:tcW w:type="dxa" w:w="1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Compute Freeze</w:t>
            </w:r>
          </w:p>
        </w:tc>
        <w:tc>
          <w:tcPr>
            <w:tcW w:type="dxa" w:w="3555"/>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SIGSTOP on ROS process</w:t>
            </w:r>
          </w:p>
        </w:tc>
        <w:tc>
          <w:tcPr>
            <w:tcW w:type="dxa" w:w="3555"/>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Gate timeout, watchdog trip, motors disable</w:t>
            </w:r>
          </w:p>
        </w:tc>
      </w:tr>
      <w:tr>
        <w:tc>
          <w:tcPr>
            <w:tcW w:type="dxa" w:w="45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5</w:t>
            </w:r>
          </w:p>
        </w:tc>
        <w:tc>
          <w:tcPr>
            <w:tcW w:type="dxa" w:w="1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IMU Drift</w:t>
            </w:r>
          </w:p>
        </w:tc>
        <w:tc>
          <w:tcPr>
            <w:tcW w:type="dxa" w:w="3555"/>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Bias on gyro/accel channels</w:t>
            </w:r>
          </w:p>
        </w:tc>
        <w:tc>
          <w:tcPr>
            <w:tcW w:type="dxa" w:w="3555"/>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trust_imu drops, A3→A2 conservative</w:t>
            </w:r>
          </w:p>
        </w:tc>
      </w:tr>
      <w:tr>
        <w:tc>
          <w:tcPr>
            <w:tcW w:type="dxa" w:w="45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6</w:t>
            </w:r>
          </w:p>
        </w:tc>
        <w:tc>
          <w:tcPr>
            <w:tcW w:type="dxa" w:w="18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Compound Failure</w:t>
            </w:r>
          </w:p>
        </w:tc>
        <w:tc>
          <w:tcPr>
            <w:tcW w:type="dxa" w:w="3555"/>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2+ simultaneous faults</w:t>
            </w:r>
          </w:p>
        </w:tc>
        <w:tc>
          <w:tcPr>
            <w:tcW w:type="dxa" w:w="3555"/>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Rapid collapse, A3→A0, CARA stop</w:t>
            </w:r>
          </w:p>
        </w:tc>
      </w:tr>
      <w:tr>
        <w:tc>
          <w:tcPr>
            <w:tcW w:type="dxa" w:w="45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7</w:t>
            </w:r>
          </w:p>
        </w:tc>
        <w:tc>
          <w:tcPr>
            <w:tcW w:type="dxa" w:w="18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Trust Recovery</w:t>
            </w:r>
          </w:p>
        </w:tc>
        <w:tc>
          <w:tcPr>
            <w:tcW w:type="dxa" w:w="3555"/>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Clear injected fault</w:t>
            </w:r>
          </w:p>
        </w:tc>
        <w:tc>
          <w:tcPr>
            <w:tcW w:type="dxa" w:w="3555"/>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Gradual recovery, stepwise A0→A3</w:t>
            </w:r>
          </w:p>
        </w:tc>
      </w:tr>
    </w:tbl>
    <w:p>
      <w:pPr>
        <w:pStyle w:val="Heading2"/>
        <w:spacing w:before="300" w:after="160"/>
      </w:pPr>
      <w:r>
        <w:rPr>
          <w:rFonts w:ascii="Arial" w:cs="Arial" w:eastAsia="Arial" w:hAnsi="Arial"/>
          <w:b/>
          <w:bCs/>
          <w:color w:val="2B4570"/>
          <w:sz w:val="24"/>
          <w:szCs w:val="24"/>
        </w:rPr>
        <w:t xml:space="preserve">11.1 Fault Injection Framework</w:t>
      </w:r>
    </w:p>
    <w:p>
      <w:pPr>
        <w:spacing w:after="130" w:line="300"/>
        <w:jc w:val="left"/>
      </w:pPr>
      <w:r>
        <w:rPr>
          <w:rFonts w:ascii="Arial" w:cs="Arial" w:eastAsia="Arial" w:hAnsi="Arial"/>
          <w:sz w:val="21"/>
          <w:szCs w:val="21"/>
        </w:rPr>
        <w:t xml:space="preserve">All faults software-controlled, timestamped, logged. On-rover agent accepts commands from external controller. Capabilities: camera blur/mask, synthetic LiDAR points, IMU bias injection, ToF offset, RF suppression, ROS process freeze (SIGSTOP/SIGCONT). Fully scriptable for reproducibility.</w:t>
      </w:r>
    </w:p>
    <w:p>
      <w:r>
        <w:br w:type="page"/>
      </w:r>
    </w:p>
    <w:p>
      <w:pPr>
        <w:pStyle w:val="Heading1"/>
        <w:spacing w:before="400" w:after="200"/>
      </w:pPr>
      <w:r>
        <w:rPr>
          <w:rFonts w:ascii="Arial" w:cs="Arial" w:eastAsia="Arial" w:hAnsi="Arial"/>
          <w:b/>
          <w:bCs/>
          <w:color w:val="1A2744"/>
          <w:sz w:val="30"/>
          <w:szCs w:val="30"/>
        </w:rPr>
        <w:t xml:space="preserve">12. Ground Station Dashboard</w:t>
      </w:r>
    </w:p>
    <w:p>
      <w:pPr>
        <w:spacing w:after="130" w:line="300"/>
        <w:jc w:val="left"/>
      </w:pPr>
      <w:r>
        <w:rPr>
          <w:rFonts w:ascii="Arial" w:cs="Arial" w:eastAsia="Arial" w:hAnsi="Arial"/>
          <w:sz w:val="21"/>
          <w:szCs w:val="21"/>
        </w:rPr>
        <w:t xml:space="preserve">Six-panel real-time display:</w:t>
      </w:r>
    </w:p>
    <w:p>
      <w:pPr>
        <w:pStyle w:val="ListParagraph"/>
        <w:numPr>
          <w:ilvl w:val="0"/>
          <w:numId w:val="2"/>
        </w:numPr>
        <w:spacing w:after="70" w:line="300"/>
      </w:pPr>
      <w:r>
        <w:rPr>
          <w:rFonts w:ascii="Arial" w:cs="Arial" w:eastAsia="Arial" w:hAnsi="Arial"/>
          <w:sz w:val="21"/>
          <w:szCs w:val="21"/>
        </w:rPr>
        <w:t xml:space="preserve">Trust Panel: 7 gauges (6 per-sensor + fused), color-coded green/yellow/red.</w:t>
      </w:r>
    </w:p>
    <w:p>
      <w:pPr>
        <w:pStyle w:val="ListParagraph"/>
        <w:numPr>
          <w:ilvl w:val="0"/>
          <w:numId w:val="2"/>
        </w:numPr>
        <w:spacing w:after="70" w:line="300"/>
      </w:pPr>
      <w:r>
        <w:rPr>
          <w:rFonts w:ascii="Arial" w:cs="Arial" w:eastAsia="Arial" w:hAnsi="Arial"/>
          <w:sz w:val="21"/>
          <w:szCs w:val="21"/>
        </w:rPr>
        <w:t xml:space="preserve">Authority Panel: Current level (A3/A2/A1/A0) + timeline of transitions with trigger reasons.</w:t>
      </w:r>
    </w:p>
    <w:p>
      <w:pPr>
        <w:pStyle w:val="ListParagraph"/>
        <w:numPr>
          <w:ilvl w:val="0"/>
          <w:numId w:val="2"/>
        </w:numPr>
        <w:spacing w:after="70" w:line="300"/>
      </w:pPr>
      <w:r>
        <w:rPr>
          <w:rFonts w:ascii="Arial" w:cs="Arial" w:eastAsia="Arial" w:hAnsi="Arial"/>
          <w:sz w:val="21"/>
          <w:szCs w:val="21"/>
        </w:rPr>
        <w:t xml:space="preserve">Command Panel: Planner proposed vs HMAA approved side-by-side, clamping magnitude visible.</w:t>
      </w:r>
    </w:p>
    <w:p>
      <w:pPr>
        <w:pStyle w:val="ListParagraph"/>
        <w:numPr>
          <w:ilvl w:val="0"/>
          <w:numId w:val="2"/>
        </w:numPr>
        <w:spacing w:after="70" w:line="300"/>
      </w:pPr>
      <w:r>
        <w:rPr>
          <w:rFonts w:ascii="Arial" w:cs="Arial" w:eastAsia="Arial" w:hAnsi="Arial"/>
          <w:sz w:val="21"/>
          <w:szCs w:val="21"/>
        </w:rPr>
        <w:t xml:space="preserve">CARA Panel: Current recovery mode, trigger reason, duration.</w:t>
      </w:r>
    </w:p>
    <w:p>
      <w:pPr>
        <w:pStyle w:val="ListParagraph"/>
        <w:numPr>
          <w:ilvl w:val="0"/>
          <w:numId w:val="2"/>
        </w:numPr>
        <w:spacing w:after="70" w:line="300"/>
      </w:pPr>
      <w:r>
        <w:rPr>
          <w:rFonts w:ascii="Arial" w:cs="Arial" w:eastAsia="Arial" w:hAnsi="Arial"/>
          <w:sz w:val="21"/>
          <w:szCs w:val="21"/>
        </w:rPr>
        <w:t xml:space="preserve">Fault Injection Panel: Select type, set parameters, arm, trigger, observe.</w:t>
      </w:r>
    </w:p>
    <w:p>
      <w:pPr>
        <w:pStyle w:val="ListParagraph"/>
        <w:numPr>
          <w:ilvl w:val="0"/>
          <w:numId w:val="2"/>
        </w:numPr>
        <w:spacing w:after="70" w:line="300"/>
      </w:pPr>
      <w:r>
        <w:rPr>
          <w:rFonts w:ascii="Arial" w:cs="Arial" w:eastAsia="Arial" w:hAnsi="Arial"/>
          <w:sz w:val="21"/>
          <w:szCs w:val="21"/>
        </w:rPr>
        <w:t xml:space="preserve">Map Panel: Rover position, planned path, approved path, safe zones, obstacles.</w:t>
      </w:r>
    </w:p>
    <w:p>
      <w:r>
        <w:br w:type="page"/>
      </w:r>
    </w:p>
    <w:p>
      <w:pPr>
        <w:pStyle w:val="Heading1"/>
        <w:spacing w:before="400" w:after="200"/>
      </w:pPr>
      <w:r>
        <w:rPr>
          <w:rFonts w:ascii="Arial" w:cs="Arial" w:eastAsia="Arial" w:hAnsi="Arial"/>
          <w:b/>
          <w:bCs/>
          <w:color w:val="1A2744"/>
          <w:sz w:val="30"/>
          <w:szCs w:val="30"/>
        </w:rPr>
        <w:t xml:space="preserve">13. Six-Month Build Roadmap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8260"/>
      </w:tblGrid>
      <w:tr>
        <w:tc>
          <w:tcPr>
            <w:tcW w:type="dxa" w:w="11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Month</w:t>
            </w:r>
          </w:p>
        </w:tc>
        <w:tc>
          <w:tcPr>
            <w:tcW w:type="dxa" w:w="82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Deliverables</w:t>
            </w:r>
          </w:p>
        </w:tc>
      </w:tr>
      <w:tr>
        <w:tc>
          <w:tcPr>
            <w:tcW w:type="dxa" w:w="11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1</w:t>
            </w:r>
          </w:p>
        </w:tc>
        <w:tc>
          <w:tcPr>
            <w:tcW w:type="dxa" w:w="82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Hardware assembly, basic mobility, ESP32–RPi5 comm, all sensors streaming, E-stop/watchdog verified</w:t>
            </w:r>
          </w:p>
        </w:tc>
      </w:tr>
      <w:tr>
        <w:tc>
          <w:tcPr>
            <w:tcW w:type="dxa" w:w="11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2</w:t>
            </w:r>
          </w:p>
        </w:tc>
        <w:tc>
          <w:tcPr>
            <w:tcW w:type="dxa" w:w="82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SATA: sensor fusion, per-sensor trust, fused score, anomaly detection, dashboard trust display</w:t>
            </w:r>
          </w:p>
        </w:tc>
      </w:tr>
      <w:tr>
        <w:tc>
          <w:tcPr>
            <w:tcW w:type="dxa" w:w="11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3</w:t>
            </w:r>
          </w:p>
        </w:tc>
        <w:tc>
          <w:tcPr>
            <w:tcW w:type="dxa" w:w="82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HMAA: state machine (4 levels), transitions, hysteresis, dwell times, command gate enforcement</w:t>
            </w:r>
          </w:p>
        </w:tc>
      </w:tr>
      <w:tr>
        <w:tc>
          <w:tcPr>
            <w:tcW w:type="dxa" w:w="11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4</w:t>
            </w:r>
          </w:p>
        </w:tc>
        <w:tc>
          <w:tcPr>
            <w:tcW w:type="dxa" w:w="82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CARA + fault injection: 5 recovery modes, software-controlled faults, ground station integration</w:t>
            </w:r>
          </w:p>
        </w:tc>
      </w:tr>
      <w:tr>
        <w:tc>
          <w:tcPr>
            <w:tcW w:type="dxa" w:w="11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5</w:t>
            </w:r>
          </w:p>
        </w:tc>
        <w:tc>
          <w:tcPr>
            <w:tcW w:type="dxa" w:w="82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Experiments: 7 experiments × 10+ trials, data collection, statistical analysis</w:t>
            </w:r>
          </w:p>
        </w:tc>
      </w:tr>
      <w:tr>
        <w:tc>
          <w:tcPr>
            <w:tcW w:type="dxa" w:w="11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6</w:t>
            </w:r>
          </w:p>
        </w:tc>
        <w:tc>
          <w:tcPr>
            <w:tcW w:type="dxa" w:w="82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Documentation, technical report, demo video, publication-ready results</w:t>
            </w:r>
          </w:p>
        </w:tc>
      </w:tr>
    </w:tbl>
    <w:p>
      <w:r>
        <w:br w:type="page"/>
      </w:r>
    </w:p>
    <w:p>
      <w:pPr>
        <w:pStyle w:val="Heading1"/>
        <w:spacing w:before="400" w:after="200"/>
      </w:pPr>
      <w:r>
        <w:rPr>
          <w:rFonts w:ascii="Arial" w:cs="Arial" w:eastAsia="Arial" w:hAnsi="Arial"/>
          <w:b/>
          <w:bCs/>
          <w:color w:val="1A2744"/>
          <w:sz w:val="30"/>
          <w:szCs w:val="30"/>
        </w:rPr>
        <w:t xml:space="preserve">14. Qualifications Demonstrated</w:t>
      </w:r>
    </w:p>
    <w:p>
      <w:pPr>
        <w:spacing w:after="110" w:line="300"/>
      </w:pPr>
      <w:r>
        <w:rPr>
          <w:rFonts w:ascii="Arial" w:cs="Arial" w:eastAsia="Arial" w:hAnsi="Arial"/>
          <w:b/>
          <w:bCs/>
          <w:sz w:val="21"/>
          <w:szCs w:val="21"/>
        </w:rPr>
        <w:t xml:space="preserve">Systems Engineering</w:t>
      </w:r>
    </w:p>
    <w:p>
      <w:pPr>
        <w:spacing w:after="130" w:line="300"/>
        <w:jc w:val="left"/>
      </w:pPr>
      <w:r>
        <w:rPr>
          <w:rFonts w:ascii="Arial" w:cs="Arial" w:eastAsia="Arial" w:hAnsi="Arial"/>
          <w:sz w:val="21"/>
          <w:szCs w:val="21"/>
        </w:rPr>
        <w:t xml:space="preserve">Complete lifecycle from requirements through verified hardware design. 21/21 automated verification checks. Formal configuration management.</w:t>
      </w:r>
    </w:p>
    <w:p>
      <w:pPr>
        <w:spacing w:after="110" w:line="300"/>
      </w:pPr>
      <w:r>
        <w:rPr>
          <w:rFonts w:ascii="Arial" w:cs="Arial" w:eastAsia="Arial" w:hAnsi="Arial"/>
          <w:b/>
          <w:bCs/>
          <w:sz w:val="21"/>
          <w:szCs w:val="21"/>
        </w:rPr>
        <w:t xml:space="preserve">Original Research</w:t>
      </w:r>
    </w:p>
    <w:p>
      <w:pPr>
        <w:spacing w:after="130" w:line="300"/>
        <w:jc w:val="left"/>
      </w:pPr>
      <w:r>
        <w:rPr>
          <w:rFonts w:ascii="Arial" w:cs="Arial" w:eastAsia="Arial" w:hAnsi="Arial"/>
          <w:sz w:val="21"/>
          <w:szCs w:val="21"/>
        </w:rPr>
        <w:t xml:space="preserve">SATA trust fusion (Dempster-Shafer with asymmetric dynamics), HMAA authority FSM, CARA recovery architecture. Novel contributions addressing an identified gap.</w:t>
      </w:r>
    </w:p>
    <w:p>
      <w:pPr>
        <w:spacing w:after="110" w:line="300"/>
      </w:pPr>
      <w:r>
        <w:rPr>
          <w:rFonts w:ascii="Arial" w:cs="Arial" w:eastAsia="Arial" w:hAnsi="Arial"/>
          <w:b/>
          <w:bCs/>
          <w:sz w:val="21"/>
          <w:szCs w:val="21"/>
        </w:rPr>
        <w:t xml:space="preserve">Experimental Methodology</w:t>
      </w:r>
    </w:p>
    <w:p>
      <w:pPr>
        <w:spacing w:after="130" w:line="300"/>
        <w:jc w:val="left"/>
      </w:pPr>
      <w:r>
        <w:rPr>
          <w:rFonts w:ascii="Arial" w:cs="Arial" w:eastAsia="Arial" w:hAnsi="Arial"/>
          <w:sz w:val="21"/>
          <w:szCs w:val="21"/>
        </w:rPr>
        <w:t xml:space="preserve">7 experiments with programmatic fault injection, statistical requirements, reproducible procedures.</w:t>
      </w:r>
    </w:p>
    <w:p>
      <w:pPr>
        <w:spacing w:after="110" w:line="300"/>
      </w:pPr>
      <w:r>
        <w:rPr>
          <w:rFonts w:ascii="Arial" w:cs="Arial" w:eastAsia="Arial" w:hAnsi="Arial"/>
          <w:b/>
          <w:bCs/>
          <w:sz w:val="21"/>
          <w:szCs w:val="21"/>
        </w:rPr>
        <w:t xml:space="preserve">Interdisciplinary Depth</w:t>
      </w:r>
    </w:p>
    <w:p>
      <w:pPr>
        <w:spacing w:after="130" w:line="300"/>
        <w:jc w:val="left"/>
      </w:pPr>
      <w:r>
        <w:rPr>
          <w:rFonts w:ascii="Arial" w:cs="Arial" w:eastAsia="Arial" w:hAnsi="Arial"/>
          <w:sz w:val="21"/>
          <w:szCs w:val="21"/>
        </w:rPr>
        <w:t xml:space="preserve">Hardware design, embedded systems, real-time control, sensor fusion, probabilistic reasoning, safety engineering, experimental methodology.</w:t>
      </w:r>
    </w:p>
    <w:p>
      <w:pPr>
        <w:spacing w:after="110" w:line="300"/>
      </w:pPr>
      <w:r>
        <w:rPr>
          <w:rFonts w:ascii="Arial" w:cs="Arial" w:eastAsia="Arial" w:hAnsi="Arial"/>
          <w:b/>
          <w:bCs/>
          <w:sz w:val="21"/>
          <w:szCs w:val="21"/>
        </w:rPr>
        <w:t xml:space="preserve">Independent Initiative</w:t>
      </w:r>
    </w:p>
    <w:p>
      <w:pPr>
        <w:spacing w:after="130" w:line="300"/>
        <w:jc w:val="left"/>
      </w:pPr>
      <w:r>
        <w:rPr>
          <w:rFonts w:ascii="Arial" w:cs="Arial" w:eastAsia="Arial" w:hAnsi="Arial"/>
          <w:sz w:val="21"/>
          <w:szCs w:val="21"/>
        </w:rPr>
        <w:t xml:space="preserve">Conceived, designed, and specified independently without institutional support or external funding.</w:t>
      </w:r>
    </w:p>
    <w:p>
      <w:r>
        <w:br w:type="page"/>
      </w:r>
    </w:p>
    <w:p>
      <w:pPr>
        <w:pStyle w:val="Heading1"/>
        <w:spacing w:before="400" w:after="200"/>
      </w:pPr>
      <w:r>
        <w:rPr>
          <w:rFonts w:ascii="Arial" w:cs="Arial" w:eastAsia="Arial" w:hAnsi="Arial"/>
          <w:b/>
          <w:bCs/>
          <w:color w:val="1A2744"/>
          <w:sz w:val="30"/>
          <w:szCs w:val="30"/>
        </w:rPr>
        <w:t xml:space="preserve">15. Known Limitations</w:t>
      </w:r>
    </w:p>
    <w:p>
      <w:pPr>
        <w:pStyle w:val="ListParagraph"/>
        <w:numPr>
          <w:ilvl w:val="0"/>
          <w:numId w:val="2"/>
        </w:numPr>
        <w:spacing w:after="70" w:line="300"/>
      </w:pPr>
      <w:r>
        <w:rPr>
          <w:rFonts w:ascii="Arial" w:cs="Arial" w:eastAsia="Arial" w:hAnsi="Arial"/>
          <w:sz w:val="21"/>
          <w:szCs w:val="21"/>
        </w:rPr>
        <w:t xml:space="preserve">ROS 2 on standard Linux is not real-time. Authority decisions may have variable latency. Mitigation: measure worst-case, consider PREEMPT_RT kernel.</w:t>
      </w:r>
    </w:p>
    <w:p>
      <w:pPr>
        <w:pStyle w:val="ListParagraph"/>
        <w:numPr>
          <w:ilvl w:val="0"/>
          <w:numId w:val="2"/>
        </w:numPr>
        <w:spacing w:after="70" w:line="300"/>
      </w:pPr>
      <w:r>
        <w:rPr>
          <w:rFonts w:ascii="Arial" w:cs="Arial" w:eastAsia="Arial" w:hAnsi="Arial"/>
          <w:sz w:val="21"/>
          <w:szCs w:val="21"/>
        </w:rPr>
        <w:t xml:space="preserve">Trust fusion weights (0.25/0.25/0.15/0.15/0.10/0.10) are initial estimates. Must be calibrated against real sensor behavior.</w:t>
      </w:r>
    </w:p>
    <w:p>
      <w:pPr>
        <w:pStyle w:val="ListParagraph"/>
        <w:numPr>
          <w:ilvl w:val="0"/>
          <w:numId w:val="2"/>
        </w:numPr>
        <w:spacing w:after="70" w:line="300"/>
      </w:pPr>
      <w:r>
        <w:rPr>
          <w:rFonts w:ascii="Arial" w:cs="Arial" w:eastAsia="Arial" w:hAnsi="Arial"/>
          <w:sz w:val="21"/>
          <w:szCs w:val="21"/>
        </w:rPr>
        <w:t xml:space="preserve">Dempster-Shafer has known issues with highly conflicting evidence. Mitigation: single-sensor veto handles the most dangerous case.</w:t>
      </w:r>
    </w:p>
    <w:p>
      <w:pPr>
        <w:pStyle w:val="ListParagraph"/>
        <w:numPr>
          <w:ilvl w:val="0"/>
          <w:numId w:val="2"/>
        </w:numPr>
        <w:spacing w:after="70" w:line="300"/>
      </w:pPr>
      <w:r>
        <w:rPr>
          <w:rFonts w:ascii="Arial" w:cs="Arial" w:eastAsia="Arial" w:hAnsi="Arial"/>
          <w:sz w:val="21"/>
          <w:szCs w:val="21"/>
        </w:rPr>
        <w:t xml:space="preserve">Indoor localization only (LiDAR SLAM + odometry + IMU). Outdoor requires GPS/RTK integration.</w:t>
      </w:r>
    </w:p>
    <w:p>
      <w:pPr>
        <w:pStyle w:val="ListParagraph"/>
        <w:numPr>
          <w:ilvl w:val="0"/>
          <w:numId w:val="2"/>
        </w:numPr>
        <w:spacing w:after="70" w:line="300"/>
      </w:pPr>
      <w:r>
        <w:rPr>
          <w:rFonts w:ascii="Arial" w:cs="Arial" w:eastAsia="Arial" w:hAnsi="Arial"/>
          <w:sz w:val="21"/>
          <w:szCs w:val="21"/>
        </w:rPr>
        <w:t xml:space="preserve">Secure element key management uses pre-provisioned keys. Production would need full lifecycle management.</w:t>
      </w:r>
    </w:p>
    <w:p>
      <w:pPr>
        <w:pStyle w:val="ListParagraph"/>
        <w:numPr>
          <w:ilvl w:val="0"/>
          <w:numId w:val="2"/>
        </w:numPr>
        <w:spacing w:after="70" w:line="300"/>
      </w:pPr>
      <w:r>
        <w:rPr>
          <w:rFonts w:ascii="Arial" w:cs="Arial" w:eastAsia="Arial" w:hAnsi="Arial"/>
          <w:sz w:val="21"/>
          <w:szCs w:val="21"/>
        </w:rPr>
        <w:t xml:space="preserve">Single rover scope. Multi-robot authority governance is a future extension.</w:t>
      </w:r>
    </w:p>
    <w:p>
      <w:r>
        <w:br w:type="page"/>
      </w:r>
    </w:p>
    <w:p>
      <w:pPr>
        <w:pStyle w:val="Heading1"/>
        <w:spacing w:before="400" w:after="200"/>
      </w:pPr>
      <w:r>
        <w:rPr>
          <w:rFonts w:ascii="Arial" w:cs="Arial" w:eastAsia="Arial" w:hAnsi="Arial"/>
          <w:b/>
          <w:bCs/>
          <w:color w:val="1A2744"/>
          <w:sz w:val="30"/>
          <w:szCs w:val="30"/>
        </w:rPr>
        <w:t xml:space="preserve">16. Current Project Status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200"/>
        <w:gridCol w:w="1600"/>
        <w:gridCol w:w="3560"/>
      </w:tblGrid>
      <w:tr>
        <w:tc>
          <w:tcPr>
            <w:tcW w:type="dxa" w:w="42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Milestone</w:t>
            </w:r>
          </w:p>
        </w:tc>
        <w:tc>
          <w:tcPr>
            <w:tcW w:type="dxa" w:w="160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Status</w:t>
            </w:r>
          </w:p>
        </w:tc>
        <w:tc>
          <w:tcPr>
            <w:tcW w:type="dxa" w:w="3560"/>
            <w:tcBorders>
              <w:top w:val="single" w:color="B0B0B0" w:sz="1"/>
              <w:left w:val="single" w:color="B0B0B0" w:sz="1"/>
              <w:bottom w:val="single" w:color="B0B0B0" w:sz="1"/>
              <w:right w:val="single" w:color="B0B0B0" w:sz="1"/>
            </w:tcBorders>
            <w:shd w:fill="1A2744" w:val="clear"/>
            <w:tcMar>
              <w:top w:type="dxa" w:w="60"/>
              <w:left w:type="dxa" w:w="100"/>
              <w:bottom w:type="dxa" w:w="60"/>
              <w:right w:type="dxa" w:w="100"/>
            </w:tcMar>
          </w:tcPr>
          <w:p>
            <w:r>
              <w:rPr>
                <w:rFonts w:ascii="Arial" w:cs="Arial" w:eastAsia="Arial" w:hAnsi="Arial"/>
                <w:b/>
                <w:bCs/>
                <w:color w:val="FFFFFF"/>
                <w:sz w:val="19"/>
                <w:szCs w:val="19"/>
              </w:rPr>
              <w:t xml:space="preserve">Notes</w:t>
            </w:r>
          </w:p>
        </w:tc>
      </w:tr>
      <w:tr>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Hardware BOM finalized</w:t>
            </w:r>
          </w:p>
        </w:tc>
        <w:tc>
          <w:tcPr>
            <w:tcW w:type="dxa" w:w="1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37 items, zero duplicates</w:t>
            </w:r>
          </w:p>
        </w:tc>
      </w:tr>
      <w:tr>
        <w:tc>
          <w:tcPr>
            <w:tcW w:type="dxa" w:w="4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Electrical connections verified</w:t>
            </w:r>
          </w:p>
        </w:tc>
        <w:tc>
          <w:tcPr>
            <w:tcW w:type="dxa" w:w="1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21/21 checks passed</w:t>
            </w:r>
          </w:p>
        </w:tc>
      </w:tr>
      <w:tr>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System architecture defined</w:t>
            </w:r>
          </w:p>
        </w:tc>
        <w:tc>
          <w:tcPr>
            <w:tcW w:type="dxa" w:w="1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Boundary locked</w:t>
            </w:r>
          </w:p>
        </w:tc>
      </w:tr>
      <w:tr>
        <w:tc>
          <w:tcPr>
            <w:tcW w:type="dxa" w:w="4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Authority FSM specified</w:t>
            </w:r>
          </w:p>
        </w:tc>
        <w:tc>
          <w:tcPr>
            <w:tcW w:type="dxa" w:w="1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4 levels, hysteresis, guard</w:t>
            </w:r>
          </w:p>
        </w:tc>
      </w:tr>
      <w:tr>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Trust fusion math defined</w:t>
            </w:r>
          </w:p>
        </w:tc>
        <w:tc>
          <w:tcPr>
            <w:tcW w:type="dxa" w:w="1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Dempster-Shafer</w:t>
            </w:r>
          </w:p>
        </w:tc>
      </w:tr>
      <w:tr>
        <w:tc>
          <w:tcPr>
            <w:tcW w:type="dxa" w:w="4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Command gate protocol</w:t>
            </w:r>
          </w:p>
        </w:tc>
        <w:tc>
          <w:tcPr>
            <w:tcW w:type="dxa" w:w="1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Packet format, timeouts</w:t>
            </w:r>
          </w:p>
        </w:tc>
      </w:tr>
      <w:tr>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CARA recovery modes</w:t>
            </w:r>
          </w:p>
        </w:tc>
        <w:tc>
          <w:tcPr>
            <w:tcW w:type="dxa" w:w="1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5 modes defined</w:t>
            </w:r>
          </w:p>
        </w:tc>
      </w:tr>
      <w:tr>
        <w:tc>
          <w:tcPr>
            <w:tcW w:type="dxa" w:w="4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ROS 2 node graph</w:t>
            </w:r>
          </w:p>
        </w:tc>
        <w:tc>
          <w:tcPr>
            <w:tcW w:type="dxa" w:w="1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10 nodes, topics, rates</w:t>
            </w:r>
          </w:p>
        </w:tc>
      </w:tr>
      <w:tr>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Experiment matrix</w:t>
            </w:r>
          </w:p>
        </w:tc>
        <w:tc>
          <w:tcPr>
            <w:tcW w:type="dxa" w:w="1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7 experiments, 10+ trials</w:t>
            </w:r>
          </w:p>
        </w:tc>
      </w:tr>
      <w:tr>
        <w:tc>
          <w:tcPr>
            <w:tcW w:type="dxa" w:w="4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System specification</w:t>
            </w:r>
          </w:p>
        </w:tc>
        <w:tc>
          <w:tcPr>
            <w:tcW w:type="dxa" w:w="1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Complete</w:t>
            </w:r>
          </w:p>
        </w:tc>
        <w:tc>
          <w:tcPr>
            <w:tcW w:type="dxa" w:w="3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19-section document</w:t>
            </w:r>
          </w:p>
        </w:tc>
      </w:tr>
      <w:tr>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Hardware assembly</w:t>
            </w:r>
          </w:p>
        </w:tc>
        <w:tc>
          <w:tcPr>
            <w:tcW w:type="dxa" w:w="1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In Progress</w:t>
            </w:r>
          </w:p>
        </w:tc>
        <w:tc>
          <w:tcPr>
            <w:tcW w:type="dxa" w:w="3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Parts procurement</w:t>
            </w:r>
          </w:p>
        </w:tc>
      </w:tr>
      <w:tr>
        <w:tc>
          <w:tcPr>
            <w:tcW w:type="dxa" w:w="42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Software implementation</w:t>
            </w:r>
          </w:p>
        </w:tc>
        <w:tc>
          <w:tcPr>
            <w:tcW w:type="dxa" w:w="160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In Progress</w:t>
            </w:r>
          </w:p>
        </w:tc>
        <w:tc>
          <w:tcPr>
            <w:tcW w:type="dxa" w:w="3560"/>
            <w:tcBorders>
              <w:top w:val="single" w:color="B0B0B0" w:sz="1"/>
              <w:left w:val="single" w:color="B0B0B0" w:sz="1"/>
              <w:bottom w:val="single" w:color="B0B0B0" w:sz="1"/>
              <w:right w:val="single" w:color="B0B0B0" w:sz="1"/>
            </w:tcBorders>
            <w:shd w:fill="F5F7FA" w:val="clear"/>
            <w:tcMar>
              <w:top w:type="dxa" w:w="60"/>
              <w:left w:type="dxa" w:w="100"/>
              <w:bottom w:type="dxa" w:w="60"/>
              <w:right w:type="dxa" w:w="100"/>
            </w:tcMar>
          </w:tcPr>
          <w:p>
            <w:pPr>
              <w:spacing w:after="40"/>
            </w:pPr>
            <w:r>
              <w:rPr>
                <w:rFonts w:ascii="Arial" w:cs="Arial" w:eastAsia="Arial" w:hAnsi="Arial"/>
                <w:sz w:val="19"/>
                <w:szCs w:val="19"/>
              </w:rPr>
              <w:t xml:space="preserve">ROS 2 simulation</w:t>
            </w:r>
          </w:p>
        </w:tc>
      </w:tr>
      <w:tr>
        <w:tc>
          <w:tcPr>
            <w:tcW w:type="dxa" w:w="42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Experimental validation</w:t>
            </w:r>
          </w:p>
        </w:tc>
        <w:tc>
          <w:tcPr>
            <w:tcW w:type="dxa" w:w="160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Planned</w:t>
            </w:r>
          </w:p>
        </w:tc>
        <w:tc>
          <w:tcPr>
            <w:tcW w:type="dxa" w:w="3560"/>
            <w:tcBorders>
              <w:top w:val="single" w:color="B0B0B0" w:sz="1"/>
              <w:left w:val="single" w:color="B0B0B0" w:sz="1"/>
              <w:bottom w:val="single" w:color="B0B0B0" w:sz="1"/>
              <w:right w:val="single" w:color="B0B0B0" w:sz="1"/>
            </w:tcBorders>
            <w:shd w:fill="FFFFFF" w:val="clear"/>
            <w:tcMar>
              <w:top w:type="dxa" w:w="60"/>
              <w:left w:type="dxa" w:w="100"/>
              <w:bottom w:type="dxa" w:w="60"/>
              <w:right w:type="dxa" w:w="100"/>
            </w:tcMar>
          </w:tcPr>
          <w:p>
            <w:pPr>
              <w:spacing w:after="40"/>
            </w:pPr>
            <w:r>
              <w:rPr>
                <w:rFonts w:ascii="Arial" w:cs="Arial" w:eastAsia="Arial" w:hAnsi="Arial"/>
                <w:sz w:val="19"/>
                <w:szCs w:val="19"/>
              </w:rPr>
              <w:t xml:space="preserve">Month 5 of roadmap</w:t>
            </w:r>
          </w:p>
        </w:tc>
      </w:tr>
    </w:tbl>
    <w:p>
      <w:pPr>
        <w:pBdr>
          <w:top w:val="single" w:color="CCCCCC" w:sz="2" w:space="12"/>
        </w:pBdr>
        <w:spacing w:before="500"/>
      </w:pPr>
      <w:r>
        <w:rPr>
          <w:rFonts w:ascii="Arial" w:cs="Arial" w:eastAsia="Arial" w:hAnsi="Arial"/>
          <w:i/>
          <w:iCs/>
          <w:color w:val="555555"/>
          <w:sz w:val="20"/>
          <w:szCs w:val="20"/>
        </w:rPr>
        <w:t xml:space="preserve">This document represents a complete engineering and research record of the Authority-Governed Assured Autonomy Rover Testbed, addressing trust-based governance of autonomous systems — a field of substantial merit and national importance.</w:t>
      </w:r>
    </w:p>
    <w:p>
      <w:pPr>
        <w:spacing w:before="400"/>
      </w:pPr>
      <w:r>
        <w:rPr>
          <w:rFonts w:ascii="Arial" w:cs="Arial" w:eastAsia="Arial" w:hAnsi="Arial"/>
          <w:i/>
          <w:iCs/>
          <w:color w:val="999999"/>
          <w:sz w:val="18"/>
          <w:szCs w:val="18"/>
        </w:rPr>
        <w:t xml:space="preserve">End of Document</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space="4"/>
      </w:pBdr>
      <w:jc w:val="center"/>
    </w:pPr>
    <w:r>
      <w:rPr>
        <w:rFonts w:ascii="Arial" w:cs="Arial" w:eastAsia="Arial" w:hAnsi="Arial"/>
        <w:color w:val="AAAAAA"/>
        <w:sz w:val="15"/>
        <w:szCs w:val="15"/>
      </w:rPr>
      <w:t xml:space="preserve">Page </w:t>
    </w:r>
    <w:r>
      <w:rPr>
        <w:rFonts w:ascii="Arial" w:cs="Arial" w:eastAsia="Arial" w:hAnsi="Arial"/>
        <w:color w:val="AAAAAA"/>
        <w:sz w:val="15"/>
        <w:szCs w:val="15"/>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A2744" w:sz="3" w:space="4"/>
      </w:pBdr>
      <w:jc w:val="right"/>
    </w:pPr>
    <w:r>
      <w:rPr>
        <w:rFonts w:ascii="Arial" w:cs="Arial" w:eastAsia="Arial" w:hAnsi="Arial"/>
        <w:i/>
        <w:iCs/>
        <w:color w:val="AAAAAA"/>
        <w:sz w:val="15"/>
        <w:szCs w:val="15"/>
      </w:rPr>
      <w:t xml:space="preserve">Burak Oktenli  |  Authority-Governed Assured Autonomy  |  Technical Research Portfolio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1A2744"/>
      <w:sz w:val="30"/>
      <w:szCs w:val="30"/>
    </w:rPr>
  </w:style>
  <w:style w:type="paragraph" w:styleId="Heading2">
    <w:name w:val="Heading 2"/>
    <w:basedOn w:val="Normal"/>
    <w:next w:val="Normal"/>
    <w:qFormat/>
    <w:pPr>
      <w:spacing w:before="300" w:after="160"/>
      <w:outlineLvl w:val="1"/>
    </w:pPr>
    <w:rPr>
      <w:rFonts w:ascii="Arial" w:cs="Arial" w:eastAsia="Arial" w:hAnsi="Arial"/>
      <w:b/>
      <w:bCs/>
      <w:color w:val="2B457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2026-03-15T12:37:31.652Z</dcterms:created>
  <dcterms:modified xsi:type="dcterms:W3CDTF">2026-03-15T12:37:31.653Z</dcterms:modified>
</cp:coreProperties>
</file>

<file path=docProps/custom.xml><?xml version="1.0" encoding="utf-8"?>
<Properties xmlns="http://schemas.openxmlformats.org/officeDocument/2006/custom-properties" xmlns:vt="http://schemas.openxmlformats.org/officeDocument/2006/docPropsVTypes"/>
</file>