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000"/>
      </w:pPr>
    </w:p>
    <w:p>
      <w:pPr>
        <w:pBdr>
          <w:bottom w:val="single" w:color="1A2744" w:sz="4" w:space="12"/>
        </w:pBdr>
        <w:spacing w:after="200"/>
        <w:jc w:val="center"/>
      </w:pPr>
      <w:r>
        <w:rPr>
          <w:rFonts w:ascii="Arial" w:cs="Arial" w:eastAsia="Arial" w:hAnsi="Arial"/>
          <w:b/>
          <w:bCs/>
          <w:color w:val="1A2744"/>
          <w:sz w:val="44"/>
          <w:szCs w:val="44"/>
        </w:rPr>
        <w:t xml:space="preserve">HMAA Phase 1 Build Plan</w:t>
      </w:r>
    </w:p>
    <w:p>
      <w:pPr>
        <w:spacing w:after="100"/>
        <w:jc w:val="center"/>
      </w:pPr>
      <w:r>
        <w:rPr>
          <w:rFonts w:ascii="Arial" w:cs="Arial" w:eastAsia="Arial" w:hAnsi="Arial"/>
          <w:color w:val="666666"/>
          <w:sz w:val="24"/>
          <w:szCs w:val="24"/>
        </w:rPr>
        <w:t xml:space="preserve">From Browser Demo to Evidence-Producing Architecture</w:t>
      </w:r>
    </w:p>
    <w:p>
      <w:pPr>
        <w:spacing w:after="400"/>
        <w:jc w:val="center"/>
      </w:pPr>
      <w:r>
        <w:rPr>
          <w:rFonts w:ascii="Arial" w:cs="Arial" w:eastAsia="Arial" w:hAnsi="Arial"/>
          <w:color w:val="888888"/>
          <w:sz w:val="20"/>
          <w:szCs w:val="20"/>
        </w:rPr>
        <w:t xml:space="preserve">Burak Oktenli  |  March 2026  |  Target Duration: 2 Weeks</w:t>
      </w:r>
    </w:p>
    <w:p>
      <w:pPr>
        <w:spacing w:after="200"/>
        <w:jc w:val="center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"Before adding anything, ask: What claim will this let me defend?
If you cannot answer that, do not build it yet."</w:t>
      </w:r>
    </w:p>
    <w:p>
      <w:r>
        <w:br w:type="page"/>
      </w:r>
    </w:p>
    <w:p>
      <w:pPr>
        <w:pStyle w:val="Heading1"/>
        <w:spacing w:before="360" w:after="180"/>
      </w:pPr>
      <w:r>
        <w:rPr>
          <w:rFonts w:ascii="Arial" w:cs="Arial" w:eastAsia="Arial" w:hAnsi="Arial"/>
          <w:b/>
          <w:bCs/>
          <w:color w:val="1A2744"/>
          <w:sz w:val="28"/>
          <w:szCs w:val="28"/>
        </w:rPr>
        <w:t xml:space="preserve">1. Objective</w:t>
      </w:r>
    </w:p>
    <w:p>
      <w:pPr>
        <w:spacing w:after="120" w:line="300"/>
      </w:pPr>
      <w:r>
        <w:rPr>
          <w:rFonts w:ascii="Arial" w:cs="Arial" w:eastAsia="Arial" w:hAnsi="Arial"/>
          <w:sz w:val="21"/>
          <w:szCs w:val="21"/>
        </w:rPr>
        <w:t xml:space="preserve">Convert the HMAA browser-based research demo (v3.4, scored 85/100 for research, 38/100 for mission-grade) into a testable, traceable, reproducible engineering foundation. Phase 1 does NOT add features. It produces evidence infrastructure.</w:t>
      </w:r>
    </w:p>
    <w:p>
      <w:pPr>
        <w:spacing w:after="120" w:line="300"/>
      </w:pPr>
      <w:r>
        <w:rPr>
          <w:rFonts w:ascii="Arial" w:cs="Arial" w:eastAsia="Arial" w:hAnsi="Arial"/>
          <w:sz w:val="21"/>
          <w:szCs w:val="21"/>
        </w:rPr>
        <w:t xml:space="preserve">Success criteria: by the end of Phase 1, every core algorithm (DS fusion, FSM, cross-validation, sensor models, twin) has unit tests, property tests, conformance tests against the TLA+ spec, and a deterministic headless simulation harness. All tests pass in CI.</w:t>
      </w:r>
    </w:p>
    <w:p>
      <w:pPr>
        <w:pStyle w:val="Heading2"/>
        <w:spacing w:before="280" w:after="140"/>
      </w:pPr>
      <w:r>
        <w:rPr>
          <w:rFonts w:ascii="Arial" w:cs="Arial" w:eastAsia="Arial" w:hAnsi="Arial"/>
          <w:b/>
          <w:bCs/>
          <w:color w:val="2B4570"/>
          <w:sz w:val="24"/>
          <w:szCs w:val="24"/>
        </w:rPr>
        <w:t xml:space="preserve">1.1 What Phase 1 Does NOT Include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No UI changes to the HTML demo (it is frozen)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No new sensors, modes, or features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No ROS 2 nodes (that is Phase 2)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No Gazebo integration (that is Phase 2)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No paper writing (that is Phase 3)</w:t>
      </w:r>
    </w:p>
    <w:p>
      <w:r>
        <w:br w:type="page"/>
      </w:r>
    </w:p>
    <w:p>
      <w:pPr>
        <w:pStyle w:val="Heading1"/>
        <w:spacing w:before="360" w:after="180"/>
      </w:pPr>
      <w:r>
        <w:rPr>
          <w:rFonts w:ascii="Arial" w:cs="Arial" w:eastAsia="Arial" w:hAnsi="Arial"/>
          <w:b/>
          <w:bCs/>
          <w:color w:val="1A2744"/>
          <w:sz w:val="28"/>
          <w:szCs w:val="28"/>
        </w:rPr>
        <w:t xml:space="preserve">2. Module Structure</w:t>
      </w:r>
    </w:p>
    <w:p>
      <w:pPr>
        <w:spacing w:after="120" w:line="300"/>
      </w:pPr>
      <w:r>
        <w:rPr>
          <w:rFonts w:ascii="Arial" w:cs="Arial" w:eastAsia="Arial" w:hAnsi="Arial"/>
          <w:sz w:val="21"/>
          <w:szCs w:val="21"/>
        </w:rPr>
        <w:t xml:space="preserve">The monolithic HTML is decomposed into independently testable modules. Language: Python 3.10+ (aligns with ROS 2 Humble/Iron). Each module has a single responsibility, defined interface, and test suite.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400"/>
        <w:gridCol w:w="4560"/>
      </w:tblGrid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274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Directory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274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Module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274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Responsibility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hmaa/core/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rng.py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Seedable RNG (Box-Muller Gaussian, Rayleigh). Seed recorded in every trace.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hmaa/core/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ds.py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Dempster-Shafer: mass(), discount(), combine(), fuseAll(), belief(), plausibility(), toScore()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hmaa/core/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fsm.py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AuthorityFSM: eval(), transition guards, dwell, hysteresis, oscillation lockout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hmaa/sensors/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models.py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6 physics-based sensor models: camera, lidar, tof, imu, odometry, rf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hmaa/sensors/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validation.py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CrossValidator: pairwise pre-fusion checks, physics-metric + trust-score paths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hmaa/twin/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kinematic.py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PredictiveTwin: forward kinematic model, risk zones, divergence computation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hmaa/modes/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manager.py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ModeManager: SAFE_STOP, CRAWL, RETURN_SAFE, TELEOP, DEG_TELEOP with entry/exit/constraints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hmaa/sim/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harness.py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simulate_scenario(config, seed) → Trace. Headless, no UI, no ROS.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hmaa/sim/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trace.py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Trace schema: dataclass with timestamps, sensor data, validation, fusion, FSM, modes, events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hmaa/sim/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montecarlo.py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MonteCarlo: run N trials, collect distributions, compute statistics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hmaa/experiments/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scenarios.py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7 experiment definitions: fault timing, success criteria, config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hmaa/experiments/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runner.py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run_experiment(config.yaml) → results + trace artifacts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tests/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test_ds.py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DS unit + property tests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tests/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test_fsm.py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FSM unit + property + conformance tests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tests/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test_sensors.py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Sensor model property tests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tests/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test_validation.py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Cross-validator tests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tests/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test_twin.py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Twin divergence edge cases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tests/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test_harness.py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Deterministic harness regression tests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tests/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test_conformance.py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JS FSM vs TLA+ oracle conformance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formal/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HMAA_Authority_FSM.tla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TLA+ specification (v2, TLC-verified)</w:t>
            </w:r>
          </w:p>
        </w:tc>
      </w:tr>
    </w:tbl>
    <w:p>
      <w:r>
        <w:br w:type="page"/>
      </w:r>
    </w:p>
    <w:p>
      <w:pPr>
        <w:pStyle w:val="Heading1"/>
        <w:spacing w:before="360" w:after="180"/>
      </w:pPr>
      <w:r>
        <w:rPr>
          <w:rFonts w:ascii="Arial" w:cs="Arial" w:eastAsia="Arial" w:hAnsi="Arial"/>
          <w:b/>
          <w:bCs/>
          <w:color w:val="1A2744"/>
          <w:sz w:val="28"/>
          <w:szCs w:val="28"/>
        </w:rPr>
        <w:t xml:space="preserve">3. Trace Schema</w:t>
      </w:r>
    </w:p>
    <w:p>
      <w:pPr>
        <w:spacing w:after="120" w:line="300"/>
      </w:pPr>
      <w:r>
        <w:rPr>
          <w:rFonts w:ascii="Arial" w:cs="Arial" w:eastAsia="Arial" w:hAnsi="Arial"/>
          <w:sz w:val="21"/>
          <w:szCs w:val="21"/>
        </w:rPr>
        <w:t xml:space="preserve">The trace is the fundamental evidence artifact. Every simulation run, every experiment, every Monte Carlo trial produces a Trace. The schema is defined before any code is written.</w:t>
      </w:r>
    </w:p>
    <w:p>
      <w:pPr>
        <w:pStyle w:val="Heading2"/>
        <w:spacing w:before="280" w:after="140"/>
      </w:pPr>
      <w:r>
        <w:rPr>
          <w:rFonts w:ascii="Arial" w:cs="Arial" w:eastAsia="Arial" w:hAnsi="Arial"/>
          <w:b/>
          <w:bCs/>
          <w:color w:val="2B4570"/>
          <w:sz w:val="24"/>
          <w:szCs w:val="24"/>
        </w:rPr>
        <w:t xml:space="preserve">3.1 TraceStep (per-tick record)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2200"/>
        <w:gridCol w:w="4560"/>
      </w:tblGrid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274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Field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274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Type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274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Description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tick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int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Monotonic tick counter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sim_time_ms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int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Simulation time in milliseconds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sensor_inputs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SensorInputs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Raw physics metrics per sensor (6 entries)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sensor_masses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List[BeliefMass]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D-S belief masses per sensor (t, d, c, u)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sensor_scores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List[float]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Scalar trust scores per sensor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validation_result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ValidationResult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Per-sensor discounts, fault flags, reason codes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effective_alphas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List[float]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DS_ALPHAS * cross-val discounts per sensor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fused_mass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BeliefMass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D-S combined belief mass (t, d, c, u, K)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fused_trust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float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Scalar fused trust score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anomaly_count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int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Number of sensors with trust &lt; 0.2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fsm_state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FSMState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level, dwell, locked, lockExpiry, transitionCount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transition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Optional[Transition]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If transition occurred: from, to, direction, reason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mode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str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Current CARA mode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command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CommandState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proposed, approved, source_flag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rover_state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RoverState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x, y, heading, speed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twin_state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TwinState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x, y, heading, predicted_trust, risk_zones_active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twin_divergence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Divergence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pos_delta, head_delta, trust_delta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active_faults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List[str]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Currently injected fault IDs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recovery_cooldowns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List[float]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Per-sensor cooldown remaining (seconds)</w:t>
            </w:r>
          </w:p>
        </w:tc>
      </w:tr>
    </w:tbl>
    <w:p>
      <w:pPr>
        <w:pStyle w:val="Heading2"/>
        <w:spacing w:before="280" w:after="140"/>
      </w:pPr>
      <w:r>
        <w:rPr>
          <w:rFonts w:ascii="Arial" w:cs="Arial" w:eastAsia="Arial" w:hAnsi="Arial"/>
          <w:b/>
          <w:bCs/>
          <w:color w:val="2B4570"/>
          <w:sz w:val="24"/>
          <w:szCs w:val="24"/>
        </w:rPr>
        <w:t xml:space="preserve">3.2 Trace (complete run record)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2200"/>
        <w:gridCol w:w="4560"/>
      </w:tblGrid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274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Field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274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Type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274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Description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seed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int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RNG seed used for this run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config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ScenarioConfig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Full scenario configuration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steps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List[TraceStep]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Per-tick state records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events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List[Event]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Timestamped events (transitions, faults, commands)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summary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TraceSummary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Aggregated metrics: min_trust, max_auth, response_time, etc.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git_commit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str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Git commit hash at time of run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checksum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str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SHA-256 of the trace for integrity verification</w:t>
            </w:r>
          </w:p>
        </w:tc>
      </w:tr>
    </w:tbl>
    <w:p>
      <w:r>
        <w:br w:type="page"/>
      </w:r>
    </w:p>
    <w:p>
      <w:pPr>
        <w:pStyle w:val="Heading1"/>
        <w:spacing w:before="360" w:after="180"/>
      </w:pPr>
      <w:r>
        <w:rPr>
          <w:rFonts w:ascii="Arial" w:cs="Arial" w:eastAsia="Arial" w:hAnsi="Arial"/>
          <w:b/>
          <w:bCs/>
          <w:color w:val="1A2744"/>
          <w:sz w:val="28"/>
          <w:szCs w:val="28"/>
        </w:rPr>
        <w:t xml:space="preserve">4. Headless Simulation Harness</w:t>
      </w:r>
    </w:p>
    <w:p>
      <w:pPr>
        <w:spacing w:after="120" w:line="300"/>
      </w:pPr>
      <w:r>
        <w:rPr>
          <w:rFonts w:ascii="Arial" w:cs="Arial" w:eastAsia="Arial" w:hAnsi="Arial"/>
          <w:sz w:val="21"/>
          <w:szCs w:val="21"/>
        </w:rPr>
        <w:t xml:space="preserve">The harness is the most important artifact in Phase 1. It runs the complete pipeline (sensors → validation → fusion → FSM → modes → twin) without any UI, ROS, or browser dependencies.</w:t>
      </w:r>
    </w:p>
    <w:p>
      <w:pPr>
        <w:pStyle w:val="Heading2"/>
        <w:spacing w:before="280" w:after="140"/>
      </w:pPr>
      <w:r>
        <w:rPr>
          <w:rFonts w:ascii="Arial" w:cs="Arial" w:eastAsia="Arial" w:hAnsi="Arial"/>
          <w:b/>
          <w:bCs/>
          <w:color w:val="2B4570"/>
          <w:sz w:val="24"/>
          <w:szCs w:val="24"/>
        </w:rPr>
        <w:t xml:space="preserve">4.1 Interface</w:t>
      </w:r>
    </w:p>
    <w:p>
      <w:pPr>
        <w:spacing w:after="80" w:line="260"/>
        <w:ind w:left="360"/>
      </w:pPr>
      <w:r>
        <w:rPr>
          <w:rFonts w:ascii="Courier New" w:cs="Courier New" w:eastAsia="Courier New" w:hAnsi="Courier New"/>
          <w:color w:val="333333"/>
          <w:sz w:val="19"/>
          <w:szCs w:val="19"/>
        </w:rPr>
        <w:t xml:space="preserve">def simulate_scenario(config: ScenarioConfig, seed: int) -&gt; Trace:</w:t>
      </w:r>
    </w:p>
    <w:p>
      <w:pPr>
        <w:spacing w:after="80" w:line="260"/>
        <w:ind w:left="360"/>
      </w:pPr>
      <w:r>
        <w:rPr>
          <w:rFonts w:ascii="Courier New" w:cs="Courier New" w:eastAsia="Courier New" w:hAnsi="Courier New"/>
          <w:color w:val="333333"/>
          <w:sz w:val="19"/>
          <w:szCs w:val="19"/>
        </w:rPr>
        <w:t xml:space="preserve">    """Run a complete scenario headlessly. Deterministic given seed."""</w:t>
      </w:r>
    </w:p>
    <w:p>
      <w:pPr>
        <w:spacing w:after="80" w:line="260"/>
        <w:ind w:left="360"/>
      </w:pPr>
      <w:r>
        <w:rPr>
          <w:rFonts w:ascii="Courier New" w:cs="Courier New" w:eastAsia="Courier New" w:hAnsi="Courier New"/>
          <w:color w:val="333333"/>
          <w:sz w:val="19"/>
          <w:szCs w:val="19"/>
        </w:rPr>
        <w:t xml:space="preserve">    rng = SeededRNG(seed)</w:t>
      </w:r>
    </w:p>
    <w:p>
      <w:pPr>
        <w:spacing w:after="80" w:line="260"/>
        <w:ind w:left="360"/>
      </w:pPr>
      <w:r>
        <w:rPr>
          <w:rFonts w:ascii="Courier New" w:cs="Courier New" w:eastAsia="Courier New" w:hAnsi="Courier New"/>
          <w:color w:val="333333"/>
          <w:sz w:val="19"/>
          <w:szCs w:val="19"/>
        </w:rPr>
        <w:t xml:space="preserve">    fsm = AuthorityFSM()</w:t>
      </w:r>
    </w:p>
    <w:p>
      <w:pPr>
        <w:spacing w:after="80" w:line="260"/>
        <w:ind w:left="360"/>
      </w:pPr>
      <w:r>
        <w:rPr>
          <w:rFonts w:ascii="Courier New" w:cs="Courier New" w:eastAsia="Courier New" w:hAnsi="Courier New"/>
          <w:color w:val="333333"/>
          <w:sz w:val="19"/>
          <w:szCs w:val="19"/>
        </w:rPr>
        <w:t xml:space="preserve">    twin = PredictiveTwin()</w:t>
      </w:r>
    </w:p>
    <w:p>
      <w:pPr>
        <w:spacing w:after="80" w:line="260"/>
        <w:ind w:left="360"/>
      </w:pPr>
      <w:r>
        <w:rPr>
          <w:rFonts w:ascii="Courier New" w:cs="Courier New" w:eastAsia="Courier New" w:hAnsi="Courier New"/>
          <w:color w:val="333333"/>
          <w:sz w:val="19"/>
          <w:szCs w:val="19"/>
        </w:rPr>
        <w:t xml:space="preserve">    trace = Trace(seed=seed, config=config)</w:t>
      </w:r>
    </w:p>
    <w:p>
      <w:pPr>
        <w:spacing w:after="80" w:line="260"/>
        <w:ind w:left="360"/>
      </w:pPr>
      <w:r>
        <w:rPr>
          <w:rFonts w:ascii="Courier New" w:cs="Courier New" w:eastAsia="Courier New" w:hAnsi="Courier New"/>
          <w:color w:val="333333"/>
          <w:sz w:val="19"/>
          <w:szCs w:val="19"/>
        </w:rPr>
        <w:t xml:space="preserve"/>
      </w:r>
    </w:p>
    <w:p>
      <w:pPr>
        <w:spacing w:after="80" w:line="260"/>
        <w:ind w:left="360"/>
      </w:pPr>
      <w:r>
        <w:rPr>
          <w:rFonts w:ascii="Courier New" w:cs="Courier New" w:eastAsia="Courier New" w:hAnsi="Courier New"/>
          <w:color w:val="333333"/>
          <w:sz w:val="19"/>
          <w:szCs w:val="19"/>
        </w:rPr>
        <w:t xml:space="preserve">    for tick in range(config.total_ticks):</w:t>
      </w:r>
    </w:p>
    <w:p>
      <w:pPr>
        <w:spacing w:after="80" w:line="260"/>
        <w:ind w:left="360"/>
      </w:pPr>
      <w:r>
        <w:rPr>
          <w:rFonts w:ascii="Courier New" w:cs="Courier New" w:eastAsia="Courier New" w:hAnsi="Courier New"/>
          <w:color w:val="333333"/>
          <w:sz w:val="19"/>
          <w:szCs w:val="19"/>
        </w:rPr>
        <w:t xml:space="preserve">        # 1. Sensor physics evaluation</w:t>
      </w:r>
    </w:p>
    <w:p>
      <w:pPr>
        <w:spacing w:after="80" w:line="260"/>
        <w:ind w:left="360"/>
      </w:pPr>
      <w:r>
        <w:rPr>
          <w:rFonts w:ascii="Courier New" w:cs="Courier New" w:eastAsia="Courier New" w:hAnsi="Courier New"/>
          <w:color w:val="333333"/>
          <w:sz w:val="19"/>
          <w:szCs w:val="19"/>
        </w:rPr>
        <w:t xml:space="preserve">        # 2. Cross-sensor validation</w:t>
      </w:r>
    </w:p>
    <w:p>
      <w:pPr>
        <w:spacing w:after="80" w:line="260"/>
        <w:ind w:left="360"/>
      </w:pPr>
      <w:r>
        <w:rPr>
          <w:rFonts w:ascii="Courier New" w:cs="Courier New" w:eastAsia="Courier New" w:hAnsi="Courier New"/>
          <w:color w:val="333333"/>
          <w:sz w:val="19"/>
          <w:szCs w:val="19"/>
        </w:rPr>
        <w:t xml:space="preserve">        # 3. Shafer discounting + D-S fusion</w:t>
      </w:r>
    </w:p>
    <w:p>
      <w:pPr>
        <w:spacing w:after="80" w:line="260"/>
        <w:ind w:left="360"/>
      </w:pPr>
      <w:r>
        <w:rPr>
          <w:rFonts w:ascii="Courier New" w:cs="Courier New" w:eastAsia="Courier New" w:hAnsi="Courier New"/>
          <w:color w:val="333333"/>
          <w:sz w:val="19"/>
          <w:szCs w:val="19"/>
        </w:rPr>
        <w:t xml:space="preserve">        # 4. FSM evaluation</w:t>
      </w:r>
    </w:p>
    <w:p>
      <w:pPr>
        <w:spacing w:after="80" w:line="260"/>
        <w:ind w:left="360"/>
      </w:pPr>
      <w:r>
        <w:rPr>
          <w:rFonts w:ascii="Courier New" w:cs="Courier New" w:eastAsia="Courier New" w:hAnsi="Courier New"/>
          <w:color w:val="333333"/>
          <w:sz w:val="19"/>
          <w:szCs w:val="19"/>
        </w:rPr>
        <w:t xml:space="preserve">        # 5. Mode selection</w:t>
      </w:r>
    </w:p>
    <w:p>
      <w:pPr>
        <w:spacing w:after="80" w:line="260"/>
        <w:ind w:left="360"/>
      </w:pPr>
      <w:r>
        <w:rPr>
          <w:rFonts w:ascii="Courier New" w:cs="Courier New" w:eastAsia="Courier New" w:hAnsi="Courier New"/>
          <w:color w:val="333333"/>
          <w:sz w:val="19"/>
          <w:szCs w:val="19"/>
        </w:rPr>
        <w:t xml:space="preserve">        # 6. Twin prediction</w:t>
      </w:r>
    </w:p>
    <w:p>
      <w:pPr>
        <w:spacing w:after="80" w:line="260"/>
        <w:ind w:left="360"/>
      </w:pPr>
      <w:r>
        <w:rPr>
          <w:rFonts w:ascii="Courier New" w:cs="Courier New" w:eastAsia="Courier New" w:hAnsi="Courier New"/>
          <w:color w:val="333333"/>
          <w:sz w:val="19"/>
          <w:szCs w:val="19"/>
        </w:rPr>
        <w:t xml:space="preserve">        # 7. Record TraceStep</w:t>
      </w:r>
    </w:p>
    <w:p>
      <w:pPr>
        <w:spacing w:after="80" w:line="260"/>
        <w:ind w:left="360"/>
      </w:pPr>
      <w:r>
        <w:rPr>
          <w:rFonts w:ascii="Courier New" w:cs="Courier New" w:eastAsia="Courier New" w:hAnsi="Courier New"/>
          <w:color w:val="333333"/>
          <w:sz w:val="19"/>
          <w:szCs w:val="19"/>
        </w:rPr>
        <w:t xml:space="preserve"/>
      </w:r>
    </w:p>
    <w:p>
      <w:pPr>
        <w:spacing w:after="80" w:line="260"/>
        <w:ind w:left="360"/>
      </w:pPr>
      <w:r>
        <w:rPr>
          <w:rFonts w:ascii="Courier New" w:cs="Courier New" w:eastAsia="Courier New" w:hAnsi="Courier New"/>
          <w:color w:val="333333"/>
          <w:sz w:val="19"/>
          <w:szCs w:val="19"/>
        </w:rPr>
        <w:t xml:space="preserve">    trace.compute_summary()</w:t>
      </w:r>
    </w:p>
    <w:p>
      <w:pPr>
        <w:spacing w:after="80" w:line="260"/>
        <w:ind w:left="360"/>
      </w:pPr>
      <w:r>
        <w:rPr>
          <w:rFonts w:ascii="Courier New" w:cs="Courier New" w:eastAsia="Courier New" w:hAnsi="Courier New"/>
          <w:color w:val="333333"/>
          <w:sz w:val="19"/>
          <w:szCs w:val="19"/>
        </w:rPr>
        <w:t xml:space="preserve">    trace.compute_checksum()</w:t>
      </w:r>
    </w:p>
    <w:p>
      <w:pPr>
        <w:spacing w:after="80" w:line="260"/>
        <w:ind w:left="360"/>
      </w:pPr>
      <w:r>
        <w:rPr>
          <w:rFonts w:ascii="Courier New" w:cs="Courier New" w:eastAsia="Courier New" w:hAnsi="Courier New"/>
          <w:color w:val="333333"/>
          <w:sz w:val="19"/>
          <w:szCs w:val="19"/>
        </w:rPr>
        <w:t xml:space="preserve">    return trace</w:t>
      </w:r>
    </w:p>
    <w:p>
      <w:pPr>
        <w:pStyle w:val="Heading2"/>
        <w:spacing w:before="280" w:after="140"/>
      </w:pPr>
      <w:r>
        <w:rPr>
          <w:rFonts w:ascii="Arial" w:cs="Arial" w:eastAsia="Arial" w:hAnsi="Arial"/>
          <w:b/>
          <w:bCs/>
          <w:color w:val="2B4570"/>
          <w:sz w:val="24"/>
          <w:szCs w:val="24"/>
        </w:rPr>
        <w:t xml:space="preserve">4.2 What This Unlocks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Unit tests: test each module in isolation by mocking inputs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Property tests: run thousands of random configs, assert invariants hold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Regression tests: deterministic seed → identical trace → detect any behavior change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Conformance tests: compare FSM transitions against TLA+ oracle for identical inputs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Monte Carlo: run N trials with different seeds, compute statistics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CI: all tests run on every commit, fail build on any regression</w:t>
      </w:r>
    </w:p>
    <w:p>
      <w:r>
        <w:br w:type="page"/>
      </w:r>
    </w:p>
    <w:p>
      <w:pPr>
        <w:pStyle w:val="Heading1"/>
        <w:spacing w:before="360" w:after="180"/>
      </w:pPr>
      <w:r>
        <w:rPr>
          <w:rFonts w:ascii="Arial" w:cs="Arial" w:eastAsia="Arial" w:hAnsi="Arial"/>
          <w:b/>
          <w:bCs/>
          <w:color w:val="1A2744"/>
          <w:sz w:val="28"/>
          <w:szCs w:val="28"/>
        </w:rPr>
        <w:t xml:space="preserve">5. Test Plan</w:t>
      </w:r>
    </w:p>
    <w:p>
      <w:pPr>
        <w:pStyle w:val="Heading2"/>
        <w:spacing w:before="280" w:after="140"/>
      </w:pPr>
      <w:r>
        <w:rPr>
          <w:rFonts w:ascii="Arial" w:cs="Arial" w:eastAsia="Arial" w:hAnsi="Arial"/>
          <w:b/>
          <w:bCs/>
          <w:color w:val="2B4570"/>
          <w:sz w:val="24"/>
          <w:szCs w:val="24"/>
        </w:rPr>
        <w:t xml:space="preserve">5.1 Unit Tests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560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274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Test File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274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Test Cases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test_ds.py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mass() sums to 1.0; discount() preserves mass axiom; combine() normalizes by (1-K); combine() with total conflict returns fallback; fuseAll() sequential combination; toScore() range [0,1]; belief/plausibility interval correctness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test_fsm.py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Init at A3; downgrade at each threshold; downgrade skips levels; upgrade is stepwise only; upgrade requires dwell; hysteresis band prevents bounce; oscillation lockout triggers at &gt;3 transitions; lockout releases after expiry; anomaly count overrides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test_sensors.py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Each sensor nominal output; each sensor faulted output; recovery cooldown ramp 0→1; no division by zero at rf=0; noise is bounded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test_validation.py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LiDAR/ToF physics disagreement; IMU/Odom cross-check; camera feature count check; no discount when sensors agree; multiple disagreements stack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test_twin.py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Independent from measured state; risk zone penalty application; divergence computation; heading wrapping at ±π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test_harness.py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Deterministic: same seed → identical trace; different seed → different trace; trace checksum matches recomputation</w:t>
            </w:r>
          </w:p>
        </w:tc>
      </w:tr>
    </w:tbl>
    <w:p>
      <w:pPr>
        <w:pStyle w:val="Heading2"/>
        <w:spacing w:before="280" w:after="140"/>
      </w:pPr>
      <w:r>
        <w:rPr>
          <w:rFonts w:ascii="Arial" w:cs="Arial" w:eastAsia="Arial" w:hAnsi="Arial"/>
          <w:b/>
          <w:bCs/>
          <w:color w:val="2B4570"/>
          <w:sz w:val="24"/>
          <w:szCs w:val="24"/>
        </w:rPr>
        <w:t xml:space="preserve">5.2 Property Tests (Hypothesis / QuickCheck style)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5360"/>
      </w:tblGrid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274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Property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274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Invariant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DS mass conservation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∀ mass: sum(t,d,c,u) = 1.0 ± ε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DS discount preserves axiom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∀ mass, α: sum(discount(mass,α)) = 1.0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DS normalization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∀ m1,m2: sum(combine(m1,m2)) = 1.0 when K &lt; 1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FSM monotonic restriction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If trust decreases continuously, authority_level never decreases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FSM upgrade stepwise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∀ transitions: if level decreases, it decreases by exactly 1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FSM compound failure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∀ (trust&lt;0.25, anom≥3, ¬locked): level = A0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FSM lockout termination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∀ locked states: lockout expires in bounded time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FSM dwell enforcement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No upgrade occurs before dwell counter reaches required ticks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Sensor recovery bounded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After fault clear, trust returns to &gt; 0.8 within 2× cooldown time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Cross-val symmetry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If sensor A is discounted in A/B check, sensor B is not (outlier identification)</w:t>
            </w:r>
          </w:p>
        </w:tc>
      </w:tr>
    </w:tbl>
    <w:p>
      <w:pPr>
        <w:pStyle w:val="Heading2"/>
        <w:spacing w:before="280" w:after="140"/>
      </w:pPr>
      <w:r>
        <w:rPr>
          <w:rFonts w:ascii="Arial" w:cs="Arial" w:eastAsia="Arial" w:hAnsi="Arial"/>
          <w:b/>
          <w:bCs/>
          <w:color w:val="2B4570"/>
          <w:sz w:val="24"/>
          <w:szCs w:val="24"/>
        </w:rPr>
        <w:t xml:space="preserve">5.3 Conformance Tests</w:t>
      </w:r>
    </w:p>
    <w:p>
      <w:pPr>
        <w:spacing w:after="120" w:line="300"/>
      </w:pPr>
      <w:r>
        <w:rPr>
          <w:rFonts w:ascii="Arial" w:cs="Arial" w:eastAsia="Arial" w:hAnsi="Arial"/>
          <w:sz w:val="21"/>
          <w:szCs w:val="21"/>
        </w:rPr>
        <w:t xml:space="preserve">Generate random traces of (trust, anomalyCount, time) and feed identical inputs to: (1) the Python FSM, (2) a TLA+ oracle (a simple Python function that mirrors the TLA+ transition logic exactly). Compare resulting level, dwell, locked, transitionCount at every step. Fail on any divergence.</w:t>
      </w:r>
    </w:p>
    <w:p>
      <w:pPr>
        <w:spacing w:after="80" w:line="260"/>
        <w:ind w:left="360"/>
      </w:pPr>
      <w:r>
        <w:rPr>
          <w:rFonts w:ascii="Courier New" w:cs="Courier New" w:eastAsia="Courier New" w:hAnsi="Courier New"/>
          <w:color w:val="333333"/>
          <w:sz w:val="19"/>
          <w:szCs w:val="19"/>
        </w:rPr>
        <w:t xml:space="preserve">def test_fsm_conforms_to_spec():</w:t>
      </w:r>
    </w:p>
    <w:p>
      <w:pPr>
        <w:spacing w:after="80" w:line="260"/>
        <w:ind w:left="360"/>
      </w:pPr>
      <w:r>
        <w:rPr>
          <w:rFonts w:ascii="Courier New" w:cs="Courier New" w:eastAsia="Courier New" w:hAnsi="Courier New"/>
          <w:color w:val="333333"/>
          <w:sz w:val="19"/>
          <w:szCs w:val="19"/>
        </w:rPr>
        <w:t xml:space="preserve">    for seed in range(1000):</w:t>
      </w:r>
    </w:p>
    <w:p>
      <w:pPr>
        <w:spacing w:after="80" w:line="260"/>
        <w:ind w:left="360"/>
      </w:pPr>
      <w:r>
        <w:rPr>
          <w:rFonts w:ascii="Courier New" w:cs="Courier New" w:eastAsia="Courier New" w:hAnsi="Courier New"/>
          <w:color w:val="333333"/>
          <w:sz w:val="19"/>
          <w:szCs w:val="19"/>
        </w:rPr>
        <w:t xml:space="preserve">        trace = generate_random_input_trace(seed, length=200)</w:t>
      </w:r>
    </w:p>
    <w:p>
      <w:pPr>
        <w:spacing w:after="80" w:line="260"/>
        <w:ind w:left="360"/>
      </w:pPr>
      <w:r>
        <w:rPr>
          <w:rFonts w:ascii="Courier New" w:cs="Courier New" w:eastAsia="Courier New" w:hAnsi="Courier New"/>
          <w:color w:val="333333"/>
          <w:sz w:val="19"/>
          <w:szCs w:val="19"/>
        </w:rPr>
        <w:t xml:space="preserve">        py_outputs  = run_python_fsm(trace)</w:t>
      </w:r>
    </w:p>
    <w:p>
      <w:pPr>
        <w:spacing w:after="80" w:line="260"/>
        <w:ind w:left="360"/>
      </w:pPr>
      <w:r>
        <w:rPr>
          <w:rFonts w:ascii="Courier New" w:cs="Courier New" w:eastAsia="Courier New" w:hAnsi="Courier New"/>
          <w:color w:val="333333"/>
          <w:sz w:val="19"/>
          <w:szCs w:val="19"/>
        </w:rPr>
        <w:t xml:space="preserve">        tla_outputs = run_tla_oracle(trace)</w:t>
      </w:r>
    </w:p>
    <w:p>
      <w:pPr>
        <w:spacing w:after="80" w:line="260"/>
        <w:ind w:left="360"/>
      </w:pPr>
      <w:r>
        <w:rPr>
          <w:rFonts w:ascii="Courier New" w:cs="Courier New" w:eastAsia="Courier New" w:hAnsi="Courier New"/>
          <w:color w:val="333333"/>
          <w:sz w:val="19"/>
          <w:szCs w:val="19"/>
        </w:rPr>
        <w:t xml:space="preserve">        assert py_outputs == tla_outputs, f"Divergence at seed {seed}"</w:t>
      </w:r>
    </w:p>
    <w:p>
      <w:r>
        <w:br w:type="page"/>
      </w:r>
    </w:p>
    <w:p>
      <w:pPr>
        <w:pStyle w:val="Heading1"/>
        <w:spacing w:before="360" w:after="180"/>
      </w:pPr>
      <w:r>
        <w:rPr>
          <w:rFonts w:ascii="Arial" w:cs="Arial" w:eastAsia="Arial" w:hAnsi="Arial"/>
          <w:b/>
          <w:bCs/>
          <w:color w:val="1A2744"/>
          <w:sz w:val="28"/>
          <w:szCs w:val="28"/>
        </w:rPr>
        <w:t xml:space="preserve">6. Build Order (Exact Sequence)</w:t>
      </w:r>
    </w:p>
    <w:p>
      <w:pPr>
        <w:spacing w:after="120" w:line="300"/>
      </w:pPr>
      <w:r>
        <w:rPr>
          <w:rFonts w:ascii="Arial" w:cs="Arial" w:eastAsia="Arial" w:hAnsi="Arial"/>
          <w:sz w:val="21"/>
          <w:szCs w:val="21"/>
        </w:rPr>
        <w:t xml:space="preserve">Execute in this order. Each step depends on the previous.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1400"/>
        <w:gridCol w:w="3360"/>
        <w:gridCol w:w="4000"/>
      </w:tblGrid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274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#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274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Duration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274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Deliverable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274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Acceptance Criteria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Day 1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trace.py: Define TraceStep, Trace, BeliefMass, FSMState dataclasses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All dataclasses instantiable, serializable to JSON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Day 1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rng.py: Seedable RNG with gaussNoise(), rayleighNoise()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Same seed produces identical sequence; different seeds diverge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Day 2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ds.py: Dempster-Shafer engine (all methods)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test_ds.py passes: 15+ unit tests, 4 property tests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Day 3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fsm.py: Authority FSM (all transition logic)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test_fsm.py passes: 12+ unit tests, 5 property tests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Day 4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models.py: 6 physics sensor models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test_sensors.py passes: 18+ tests, no NaN/Inf for any input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Day 5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validation.py: CrossValidator with physics metrics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test_validation.py passes: 10+ tests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Day 6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kinematic.py: PredictiveTwin with risk zones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test_twin.py passes: 8+ tests, heading wrap verified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Day 7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manager.py: ModeManager with entry/exit/constraints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Each mode has documented criteria and test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Day 8-9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harness.py: simulate_scenario(config, seed) → Trace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test_harness.py passes: deterministic, checksum-verified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10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Day 10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test_conformance.py: FSM vs TLA+ oracle, 1000 seeds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Zero divergences across 1000 random traces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11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Day 11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montecarlo.py: N-trial runner with statistics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Reproduces v3.4 MC results within expected variance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12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Day 12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scenarios.py + runner.py: 7 experiment definitions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All 7 experiments runnable headlessly, traces exported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13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Day 13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CI pipeline: pytest + coverage + regression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All tests pass, coverage &gt; 85%, green CI badge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14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Day 14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Documentation: README, architecture diagram, API docs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New contributor can run tests within 10 minutes of clone</w:t>
            </w:r>
          </w:p>
        </w:tc>
      </w:tr>
    </w:tbl>
    <w:p>
      <w:r>
        <w:br w:type="page"/>
      </w:r>
    </w:p>
    <w:p>
      <w:pPr>
        <w:pStyle w:val="Heading1"/>
        <w:spacing w:before="360" w:after="180"/>
      </w:pPr>
      <w:r>
        <w:rPr>
          <w:rFonts w:ascii="Arial" w:cs="Arial" w:eastAsia="Arial" w:hAnsi="Arial"/>
          <w:b/>
          <w:bCs/>
          <w:color w:val="1A2744"/>
          <w:sz w:val="28"/>
          <w:szCs w:val="28"/>
        </w:rPr>
        <w:t xml:space="preserve">7. ROS 2 Architecture (Phase 2 Preview)</w:t>
      </w:r>
    </w:p>
    <w:p>
      <w:pPr>
        <w:spacing w:after="120" w:line="300"/>
      </w:pPr>
      <w:r>
        <w:rPr>
          <w:rFonts w:ascii="Arial" w:cs="Arial" w:eastAsia="Arial" w:hAnsi="Arial"/>
          <w:sz w:val="21"/>
          <w:szCs w:val="21"/>
        </w:rPr>
        <w:t xml:space="preserve">Phase 2 translates the Python modules into ROS 2 nodes with defined message contracts. The architecture below is the target paper figure and launch blueprint.</w:t>
      </w:r>
    </w:p>
    <w:p>
      <w:pPr>
        <w:pStyle w:val="Heading2"/>
        <w:spacing w:before="280" w:after="140"/>
      </w:pPr>
      <w:r>
        <w:rPr>
          <w:rFonts w:ascii="Arial" w:cs="Arial" w:eastAsia="Arial" w:hAnsi="Arial"/>
          <w:b/>
          <w:bCs/>
          <w:color w:val="2B4570"/>
          <w:sz w:val="24"/>
          <w:szCs w:val="24"/>
        </w:rPr>
        <w:t xml:space="preserve">7.1 Node Graph</w:t>
      </w:r>
    </w:p>
    <w:p>
      <w:pPr>
        <w:spacing w:after="120" w:line="300"/>
      </w:pPr>
      <w:r>
        <w:rPr>
          <w:rFonts w:ascii="Arial" w:cs="Arial" w:eastAsia="Arial" w:hAnsi="Arial"/>
          <w:sz w:val="21"/>
          <w:szCs w:val="21"/>
        </w:rPr>
        <w:t xml:space="preserve">sensor_nodes (camera, lidar, tof, imu, odom, rf) → sensor_health_node (self-metrics, timestamp, freshness) → sensor_validation_node (cross-checks, discounts, fault flags) → trust_fusion_node (D-S combination, trust, conflict, uncertainty) → authority_governor_node (FSM, dwell, hysteresis, lockout, transitions) → mission_mode_manager (safe_stop, crawl, teleop, return_safe) → planner/controller adapter (restrictions, command gates) → robot/simulated platform.</w:t>
      </w:r>
    </w:p>
    <w:p>
      <w:pPr>
        <w:spacing w:after="120" w:line="300"/>
      </w:pPr>
      <w:r>
        <w:rPr>
          <w:rFonts w:ascii="Arial" w:cs="Arial" w:eastAsia="Arial" w:hAnsi="Arial"/>
          <w:sz w:val="21"/>
          <w:szCs w:val="21"/>
        </w:rPr>
        <w:t xml:space="preserve">Parallel branch: authority_governor_node → predictive_twin_node (predicted state, expected residuals).</w:t>
      </w:r>
    </w:p>
    <w:p>
      <w:pPr>
        <w:spacing w:after="120" w:line="300"/>
      </w:pPr>
      <w:r>
        <w:rPr>
          <w:rFonts w:ascii="Arial" w:cs="Arial" w:eastAsia="Arial" w:hAnsi="Arial"/>
          <w:sz w:val="21"/>
          <w:szCs w:val="21"/>
        </w:rPr>
        <w:t xml:space="preserve">Evidence bus: all nodes → /diagnostics + /events + rosbag → analysis/conformance/metrics/reports.</w:t>
      </w:r>
    </w:p>
    <w:p>
      <w:pPr>
        <w:pStyle w:val="Heading2"/>
        <w:spacing w:before="280" w:after="140"/>
      </w:pPr>
      <w:r>
        <w:rPr>
          <w:rFonts w:ascii="Arial" w:cs="Arial" w:eastAsia="Arial" w:hAnsi="Arial"/>
          <w:b/>
          <w:bCs/>
          <w:color w:val="2B4570"/>
          <w:sz w:val="24"/>
          <w:szCs w:val="24"/>
        </w:rPr>
        <w:t xml:space="preserve">7.2 Message Contracts</w:t>
      </w:r>
    </w:p>
    <w:p>
      <w:pPr>
        <w:spacing w:before="200" w:after="100"/>
      </w:pPr>
      <w:r>
        <w:rPr>
          <w:rFonts w:ascii="Arial" w:cs="Arial" w:eastAsia="Arial" w:hAnsi="Arial"/>
          <w:b/>
          <w:bCs/>
          <w:color w:val="333333"/>
          <w:sz w:val="22"/>
          <w:szCs w:val="22"/>
        </w:rPr>
        <w:t xml:space="preserve">sensor_validation_node publishes: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sensor_id, timestamp, data_age_ms, freshness_ok, self_health_score, cross_consistency_score, discount_factor, fault_flags[], reason_codes[]</w:t>
      </w:r>
    </w:p>
    <w:p>
      <w:pPr>
        <w:spacing w:before="200" w:after="100"/>
      </w:pPr>
      <w:r>
        <w:rPr>
          <w:rFonts w:ascii="Arial" w:cs="Arial" w:eastAsia="Arial" w:hAnsi="Arial"/>
          <w:b/>
          <w:bCs/>
          <w:color w:val="333333"/>
          <w:sz w:val="22"/>
          <w:szCs w:val="22"/>
        </w:rPr>
        <w:t xml:space="preserve">trust_fusion_node publishes: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timestamp, belief_trusted, belief_degraded, belief_compromised, belief_uncertain, conflict_mass, trust_score, fusion_reason_codes[]</w:t>
      </w:r>
    </w:p>
    <w:p>
      <w:pPr>
        <w:spacing w:before="200" w:after="100"/>
      </w:pPr>
      <w:r>
        <w:rPr>
          <w:rFonts w:ascii="Arial" w:cs="Arial" w:eastAsia="Arial" w:hAnsi="Arial"/>
          <w:b/>
          <w:bCs/>
          <w:color w:val="333333"/>
          <w:sz w:val="22"/>
          <w:szCs w:val="22"/>
        </w:rPr>
        <w:t xml:space="preserve">authority_governor_node publishes: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timestamp, authority_level, previous_level, transition_occurred, transition_reason_code, dwell_timer_state, lockout_active, anomaly_count</w:t>
      </w:r>
    </w:p>
    <w:p>
      <w:pPr>
        <w:spacing w:before="200" w:after="100"/>
      </w:pPr>
      <w:r>
        <w:rPr>
          <w:rFonts w:ascii="Arial" w:cs="Arial" w:eastAsia="Arial" w:hAnsi="Arial"/>
          <w:b/>
          <w:bCs/>
          <w:color w:val="333333"/>
          <w:sz w:val="22"/>
          <w:szCs w:val="22"/>
        </w:rPr>
        <w:t xml:space="preserve">mission_mode_manager publishes: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timestamp, mission_mode, entry_reason, active_restrictions[], command_limits, recovery_policy_id</w:t>
      </w:r>
    </w:p>
    <w:p>
      <w:r>
        <w:br w:type="page"/>
      </w:r>
    </w:p>
    <w:p>
      <w:pPr>
        <w:pStyle w:val="Heading1"/>
        <w:spacing w:before="360" w:after="180"/>
      </w:pPr>
      <w:r>
        <w:rPr>
          <w:rFonts w:ascii="Arial" w:cs="Arial" w:eastAsia="Arial" w:hAnsi="Arial"/>
          <w:b/>
          <w:bCs/>
          <w:color w:val="1A2744"/>
          <w:sz w:val="28"/>
          <w:szCs w:val="28"/>
        </w:rPr>
        <w:t xml:space="preserve">8. Evidence Chain Target</w:t>
      </w:r>
    </w:p>
    <w:p>
      <w:pPr>
        <w:spacing w:after="120" w:line="300"/>
      </w:pPr>
      <w:r>
        <w:rPr>
          <w:rFonts w:ascii="Arial" w:cs="Arial" w:eastAsia="Arial" w:hAnsi="Arial"/>
          <w:sz w:val="21"/>
          <w:szCs w:val="21"/>
        </w:rPr>
        <w:t xml:space="preserve">By end of Phase 3, every claim in the IROS paper maps to one of these evidence types:</w:t>
      </w:r>
    </w:p>
    <w:p>
      <w:pPr>
        <w:pStyle w:val="Heading2"/>
        <w:spacing w:before="280" w:after="140"/>
      </w:pPr>
      <w:r>
        <w:rPr>
          <w:rFonts w:ascii="Arial" w:cs="Arial" w:eastAsia="Arial" w:hAnsi="Arial"/>
          <w:b/>
          <w:bCs/>
          <w:color w:val="2B4570"/>
          <w:sz w:val="24"/>
          <w:szCs w:val="24"/>
        </w:rPr>
        <w:t xml:space="preserve">8.1 Formal Evidence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TLA+ invariant verified by TLC (8 properties, 48,751 states, zero violations)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Transition properties proven structurally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Conformance tests: 1000 seeds, zero divergences between Python FSM and TLA+ oracle</w:t>
      </w:r>
    </w:p>
    <w:p>
      <w:pPr>
        <w:pStyle w:val="Heading2"/>
        <w:spacing w:before="280" w:after="140"/>
      </w:pPr>
      <w:r>
        <w:rPr>
          <w:rFonts w:ascii="Arial" w:cs="Arial" w:eastAsia="Arial" w:hAnsi="Arial"/>
          <w:b/>
          <w:bCs/>
          <w:color w:val="2B4570"/>
          <w:sz w:val="24"/>
          <w:szCs w:val="24"/>
        </w:rPr>
        <w:t xml:space="preserve">8.2 Software Evidence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Unit tests: &gt;80 test cases across 7 test files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Property tests: 10 invariants verified by Hypothesis/QuickCheck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Deterministic replay: seed → identical trace → checksum match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CI: green pipeline on every commit, coverage &gt; 85%</w:t>
      </w:r>
    </w:p>
    <w:p>
      <w:pPr>
        <w:pStyle w:val="Heading2"/>
        <w:spacing w:before="280" w:after="140"/>
      </w:pPr>
      <w:r>
        <w:rPr>
          <w:rFonts w:ascii="Arial" w:cs="Arial" w:eastAsia="Arial" w:hAnsi="Arial"/>
          <w:b/>
          <w:bCs/>
          <w:color w:val="2B4570"/>
          <w:sz w:val="24"/>
          <w:szCs w:val="24"/>
        </w:rPr>
        <w:t xml:space="preserve">8.3 Experimental Evidence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7 experiments × 5 Gazebo runs each → rosbags → metrics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Monte Carlo: N=100 trials per experiment, μ, σ, 95% CI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Results table: downgrade latency, false positive rate, recovery success</w:t>
      </w:r>
    </w:p>
    <w:p>
      <w:pPr>
        <w:pStyle w:val="Heading2"/>
        <w:spacing w:before="280" w:after="140"/>
      </w:pPr>
      <w:r>
        <w:rPr>
          <w:rFonts w:ascii="Arial" w:cs="Arial" w:eastAsia="Arial" w:hAnsi="Arial"/>
          <w:b/>
          <w:bCs/>
          <w:color w:val="2B4570"/>
          <w:sz w:val="24"/>
          <w:szCs w:val="24"/>
        </w:rPr>
        <w:t xml:space="preserve">8.4 Traceability Evidence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12 requirements (REQ-SATA/HMAA/CARA/GATE/TWIN/RECOV/VAL)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Each requirement → design element → code module → test ID → experiment ID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10-row FMEA with detection method, severity, mitigation, residual risk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GSN safety case: top claim → sub-goals → strategies → evidence nodes</w:t>
      </w:r>
    </w:p>
    <w:p>
      <w:r>
        <w:br w:type="page"/>
      </w:r>
    </w:p>
    <w:p>
      <w:pPr>
        <w:pStyle w:val="Heading1"/>
        <w:spacing w:before="360" w:after="180"/>
      </w:pPr>
      <w:r>
        <w:rPr>
          <w:rFonts w:ascii="Arial" w:cs="Arial" w:eastAsia="Arial" w:hAnsi="Arial"/>
          <w:b/>
          <w:bCs/>
          <w:color w:val="1A2744"/>
          <w:sz w:val="28"/>
          <w:szCs w:val="28"/>
        </w:rPr>
        <w:t xml:space="preserve">9. Anti-Patterns to Avoid</w:t>
      </w:r>
    </w:p>
    <w:p>
      <w:pPr>
        <w:spacing w:after="120" w:line="300"/>
      </w:pPr>
      <w:r>
        <w:rPr>
          <w:rFonts w:ascii="Arial" w:cs="Arial" w:eastAsia="Arial" w:hAnsi="Arial"/>
          <w:sz w:val="21"/>
          <w:szCs w:val="21"/>
        </w:rPr>
        <w:t xml:space="preserve">The following temptations will arise during Phase 1. Resist them.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"Let me add one more sensor type" — No. The architecture supports 6 sensors. That is enough for the paper.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"Let me make the dashboard prettier" — No. The HTML demo is frozen. Touch it again only to embed final results.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"Let me add a web server" — No. The harness is a Python function, not a web service.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"Let me integrate ROS 2 now" — No. Phase 1 is pure Python with zero external dependencies beyond pytest and hypothesis.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"Let me rewrite in Rust/C++" — No. Python is fast enough for simulation. ROS 2 nodes in Python are fine for a research platform.</w:t>
      </w:r>
    </w:p>
    <w:p>
      <w:pPr>
        <w:pStyle w:val="ListParagraph"/>
        <w:numPr>
          <w:ilvl w:val="0"/>
          <w:numId w:val="2"/>
        </w:numPr>
        <w:spacing w:after="60" w:line="280"/>
      </w:pPr>
      <w:r>
        <w:rPr>
          <w:rFonts w:ascii="Arial" w:cs="Arial" w:eastAsia="Arial" w:hAnsi="Arial"/>
          <w:sz w:val="21"/>
          <w:szCs w:val="21"/>
        </w:rPr>
        <w:t xml:space="preserve">"But this feature would be really cool" — Apply the filter: What claim will this let me defend? If no answer, do not build it.</w:t>
      </w:r>
    </w:p>
    <w:p>
      <w:r>
        <w:br w:type="page"/>
      </w:r>
    </w:p>
    <w:p>
      <w:pPr>
        <w:pStyle w:val="Heading1"/>
        <w:spacing w:before="360" w:after="180"/>
      </w:pPr>
      <w:r>
        <w:rPr>
          <w:rFonts w:ascii="Arial" w:cs="Arial" w:eastAsia="Arial" w:hAnsi="Arial"/>
          <w:b/>
          <w:bCs/>
          <w:color w:val="1A2744"/>
          <w:sz w:val="28"/>
          <w:szCs w:val="28"/>
        </w:rPr>
        <w:t xml:space="preserve">10. Paper Figure Set (Build Toward These)</w:t>
      </w:r>
    </w:p>
    <w:p>
      <w:pPr>
        <w:spacing w:after="120" w:line="300"/>
      </w:pPr>
      <w:r>
        <w:rPr>
          <w:rFonts w:ascii="Arial" w:cs="Arial" w:eastAsia="Arial" w:hAnsi="Arial"/>
          <w:sz w:val="21"/>
          <w:szCs w:val="21"/>
        </w:rPr>
        <w:t xml:space="preserve">Every implementation decision should produce artifacts that feed these five figures: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3000"/>
        <w:gridCol w:w="5760"/>
      </w:tblGrid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274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Fig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274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Title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274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Content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1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System Architecture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The ROS 2 node graph from Section 7. Sensor nodes → validation → fusion → governor → modes → planner. Evidence bus alongside.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2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Authority Transition Diagram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FSM states A3/A2/A1/A0 with transition conditions, hysteresis bands, dwell times. From TLA+ spec.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3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Evidence Pipeline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scenario config → Gazebo run → rosbag → replay → analysis → report. Shows reproducibility.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4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Experiment Timeline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Representative run: sensor degradation, trust score, authority level, mission mode over time. From a real Gazebo bag.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5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Results Summary Table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7 experiments × (downgrade latency, false positive rate, recovery success). N=100 MC + N=5 SITL runs. With μ ± σ and 95% CI.</w:t>
            </w:r>
          </w:p>
        </w:tc>
      </w:tr>
    </w:tbl>
    <w:p>
      <w:pPr>
        <w:pBdr>
          <w:top w:val="single" w:color="CCCCCC" w:sz="2" w:space="12"/>
        </w:pBdr>
        <w:spacing w:before="400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This document is the contract for Phase 1. Execute it in order. Produce evidence, not features. Ship tests, not polish.</w:t>
      </w:r>
    </w:p>
    <w:sectPr>
      <w:headerReference w:type="default" r:id="rId6"/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5"/>
        <w:szCs w:val="15"/>
      </w:rPr>
      <w:t xml:space="preserve">Page </w:t>
    </w:r>
    <w:r>
      <w:rPr>
        <w:rFonts w:ascii="Arial" w:cs="Arial" w:eastAsia="Arial" w:hAnsi="Arial"/>
        <w:color w:val="AAAAAA"/>
        <w:sz w:val="15"/>
        <w:szCs w:val="15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A2744" w:sz="2" w:space="4"/>
      </w:pBdr>
      <w:jc w:val="right"/>
    </w:pPr>
    <w:r>
      <w:rPr>
        <w:rFonts w:ascii="Arial" w:cs="Arial" w:eastAsia="Arial" w:hAnsi="Arial"/>
        <w:i/>
        <w:iCs/>
        <w:color w:val="AAAAAA"/>
        <w:sz w:val="15"/>
        <w:szCs w:val="15"/>
      </w:rPr>
      <w:t xml:space="preserve">HMAA Phase 1 Build Plan  |  Burak Oktenli  |  March 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180"/>
      <w:outlineLvl w:val="0"/>
    </w:pPr>
    <w:rPr>
      <w:rFonts w:ascii="Arial" w:cs="Arial" w:eastAsia="Arial" w:hAnsi="Arial"/>
      <w:b/>
      <w:bCs/>
      <w:color w:val="1A2744"/>
      <w:sz w:val="28"/>
      <w:szCs w:val="28"/>
    </w:rPr>
  </w:style>
  <w:style w:type="paragraph" w:styleId="Heading2">
    <w:name w:val="Heading 2"/>
    <w:basedOn w:val="Normal"/>
    <w:next w:val="Normal"/>
    <w:qFormat/>
    <w:pPr>
      <w:spacing w:before="280" w:after="140"/>
      <w:outlineLvl w:val="1"/>
    </w:pPr>
    <w:rPr>
      <w:rFonts w:ascii="Arial" w:cs="Arial" w:eastAsia="Arial" w:hAnsi="Arial"/>
      <w:b/>
      <w:bCs/>
      <w:color w:val="2B457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2026-03-16T03:30:10.763Z</dcterms:created>
  <dcterms:modified xsi:type="dcterms:W3CDTF">2026-03-16T03:30:10.763Z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